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before="0" w:beforeAutospacing="0" w:after="0" w:afterAutospacing="0" w:line="540" w:lineRule="exact"/>
        <w:jc w:val="both"/>
        <w:rPr>
          <w:rStyle w:val="12"/>
          <w:rFonts w:eastAsia="黑体"/>
          <w:color w:val="auto"/>
          <w:sz w:val="32"/>
          <w:szCs w:val="32"/>
          <w:highlight w:val="none"/>
        </w:rPr>
      </w:pPr>
      <w:r>
        <w:rPr>
          <w:rStyle w:val="12"/>
          <w:rFonts w:eastAsia="黑体"/>
          <w:color w:val="auto"/>
          <w:sz w:val="32"/>
          <w:szCs w:val="32"/>
          <w:highlight w:val="none"/>
        </w:rPr>
        <w:t>附件2</w:t>
      </w:r>
    </w:p>
    <w:p>
      <w:pPr>
        <w:pStyle w:val="16"/>
        <w:shd w:val="clear" w:color="auto" w:fill="FFFFFF"/>
        <w:spacing w:before="0" w:beforeAutospacing="0" w:after="0" w:afterAutospacing="0" w:line="540" w:lineRule="exact"/>
        <w:jc w:val="both"/>
        <w:rPr>
          <w:rStyle w:val="12"/>
          <w:rFonts w:eastAsia="黑体"/>
          <w:color w:val="auto"/>
          <w:sz w:val="32"/>
          <w:szCs w:val="32"/>
          <w:highlight w:val="none"/>
        </w:rPr>
      </w:pPr>
    </w:p>
    <w:p>
      <w:pPr>
        <w:spacing w:line="620" w:lineRule="exact"/>
        <w:jc w:val="center"/>
        <w:rPr>
          <w:rStyle w:val="12"/>
          <w:rFonts w:eastAsia="方正小标宋简体"/>
          <w:color w:val="auto"/>
          <w:kern w:val="0"/>
          <w:sz w:val="44"/>
          <w:szCs w:val="44"/>
          <w:highlight w:val="none"/>
        </w:rPr>
      </w:pPr>
      <w:r>
        <w:rPr>
          <w:rStyle w:val="10"/>
          <w:rFonts w:eastAsia="方正小标宋简体"/>
          <w:b w:val="0"/>
          <w:color w:val="auto"/>
          <w:kern w:val="0"/>
          <w:sz w:val="44"/>
          <w:szCs w:val="44"/>
          <w:highlight w:val="none"/>
        </w:rPr>
        <w:t>新疆生产建设兵团</w:t>
      </w:r>
      <w:r>
        <w:rPr>
          <w:rStyle w:val="12"/>
          <w:rFonts w:eastAsia="方正小标宋简体"/>
          <w:color w:val="auto"/>
          <w:kern w:val="0"/>
          <w:sz w:val="44"/>
          <w:szCs w:val="44"/>
          <w:highlight w:val="none"/>
        </w:rPr>
        <w:t>植物检疫</w:t>
      </w:r>
    </w:p>
    <w:p>
      <w:pPr>
        <w:spacing w:line="620" w:lineRule="exact"/>
        <w:jc w:val="center"/>
        <w:rPr>
          <w:rStyle w:val="10"/>
          <w:rFonts w:hint="eastAsia" w:eastAsia="方正小标宋简体"/>
          <w:b w:val="0"/>
          <w:color w:val="auto"/>
          <w:kern w:val="0"/>
          <w:sz w:val="44"/>
          <w:szCs w:val="44"/>
          <w:highlight w:val="none"/>
          <w:lang w:eastAsia="zh-CN"/>
        </w:rPr>
      </w:pPr>
      <w:r>
        <w:rPr>
          <w:rStyle w:val="10"/>
          <w:rFonts w:eastAsia="方正小标宋简体"/>
          <w:b w:val="0"/>
          <w:color w:val="auto"/>
          <w:kern w:val="0"/>
          <w:sz w:val="44"/>
          <w:szCs w:val="44"/>
          <w:highlight w:val="none"/>
        </w:rPr>
        <w:t>省间调运检疫签证管理办法</w:t>
      </w:r>
      <w:r>
        <w:rPr>
          <w:rStyle w:val="10"/>
          <w:rFonts w:hint="eastAsia" w:eastAsia="方正小标宋简体"/>
          <w:b w:val="0"/>
          <w:color w:val="auto"/>
          <w:kern w:val="0"/>
          <w:sz w:val="44"/>
          <w:szCs w:val="44"/>
          <w:highlight w:val="none"/>
          <w:lang w:eastAsia="zh-CN"/>
        </w:rPr>
        <w:t>（</w:t>
      </w:r>
      <w:r>
        <w:rPr>
          <w:rStyle w:val="10"/>
          <w:rFonts w:eastAsia="方正小标宋简体"/>
          <w:b w:val="0"/>
          <w:color w:val="auto"/>
          <w:kern w:val="0"/>
          <w:sz w:val="44"/>
          <w:szCs w:val="44"/>
          <w:highlight w:val="none"/>
        </w:rPr>
        <w:t>农业部分</w:t>
      </w:r>
      <w:r>
        <w:rPr>
          <w:rStyle w:val="10"/>
          <w:rFonts w:hint="eastAsia" w:eastAsia="方正小标宋简体"/>
          <w:b w:val="0"/>
          <w:color w:val="auto"/>
          <w:kern w:val="0"/>
          <w:sz w:val="44"/>
          <w:szCs w:val="44"/>
          <w:highlight w:val="none"/>
          <w:lang w:eastAsia="zh-CN"/>
        </w:rPr>
        <w:t>）（试行）</w:t>
      </w:r>
    </w:p>
    <w:p>
      <w:pPr>
        <w:pStyle w:val="2"/>
        <w:ind w:left="0" w:leftChars="0" w:firstLine="0" w:firstLineChars="0"/>
        <w:jc w:val="center"/>
        <w:rPr>
          <w:rStyle w:val="12"/>
          <w:rFonts w:hint="eastAsia" w:ascii="楷体" w:hAnsi="楷体" w:eastAsia="楷体" w:cs="楷体"/>
          <w:bCs/>
          <w:kern w:val="0"/>
          <w:sz w:val="32"/>
          <w:szCs w:val="32"/>
          <w:highlight w:val="none"/>
        </w:rPr>
      </w:pPr>
      <w:r>
        <w:rPr>
          <w:rStyle w:val="12"/>
          <w:rFonts w:hint="eastAsia" w:ascii="楷体" w:hAnsi="楷体" w:eastAsia="楷体" w:cs="楷体"/>
          <w:sz w:val="32"/>
          <w:szCs w:val="32"/>
          <w:highlight w:val="none"/>
          <w:lang w:eastAsia="zh-CN" w:bidi="zh-TW"/>
        </w:rPr>
        <w:t>（征求意见稿）</w:t>
      </w:r>
    </w:p>
    <w:p>
      <w:pPr>
        <w:pStyle w:val="2"/>
      </w:pPr>
    </w:p>
    <w:p>
      <w:pPr>
        <w:shd w:val="clear" w:color="auto" w:fill="FFFFFF"/>
        <w:spacing w:line="540" w:lineRule="exact"/>
        <w:ind w:firstLine="640" w:firstLineChars="200"/>
        <w:rPr>
          <w:rStyle w:val="10"/>
          <w:rFonts w:eastAsia="方正小标宋简体"/>
          <w:b w:val="0"/>
          <w:bCs/>
          <w:color w:val="auto"/>
          <w:kern w:val="0"/>
          <w:sz w:val="32"/>
          <w:szCs w:val="32"/>
          <w:highlight w:val="none"/>
        </w:rPr>
      </w:pPr>
    </w:p>
    <w:p>
      <w:pPr>
        <w:shd w:val="clear" w:color="auto" w:fill="FFFFFF"/>
        <w:spacing w:line="540" w:lineRule="exact"/>
        <w:ind w:firstLine="640" w:firstLineChars="200"/>
        <w:rPr>
          <w:rStyle w:val="12"/>
          <w:rFonts w:eastAsia="仿宋"/>
          <w:color w:val="auto"/>
          <w:kern w:val="0"/>
          <w:sz w:val="32"/>
          <w:szCs w:val="32"/>
          <w:highlight w:val="none"/>
        </w:rPr>
      </w:pPr>
      <w:r>
        <w:rPr>
          <w:rStyle w:val="10"/>
          <w:rFonts w:eastAsia="黑体"/>
          <w:b w:val="0"/>
          <w:bCs/>
          <w:color w:val="auto"/>
          <w:kern w:val="0"/>
          <w:sz w:val="32"/>
          <w:szCs w:val="32"/>
          <w:highlight w:val="none"/>
        </w:rPr>
        <w:t>第一条</w:t>
      </w:r>
      <w:r>
        <w:rPr>
          <w:rStyle w:val="10"/>
          <w:rFonts w:eastAsia="方正小标宋简体"/>
          <w:b w:val="0"/>
          <w:bCs/>
          <w:color w:val="auto"/>
          <w:kern w:val="0"/>
          <w:sz w:val="32"/>
          <w:szCs w:val="32"/>
          <w:highlight w:val="none"/>
        </w:rPr>
        <w:t xml:space="preserve">  </w:t>
      </w:r>
      <w:r>
        <w:rPr>
          <w:rStyle w:val="12"/>
          <w:rFonts w:eastAsia="仿宋"/>
          <w:color w:val="auto"/>
          <w:kern w:val="0"/>
          <w:sz w:val="32"/>
          <w:szCs w:val="32"/>
          <w:highlight w:val="none"/>
        </w:rPr>
        <w:t>为加强新疆生产建设兵团（以下简称“兵团”）植物检疫省间调运检疫签证管理工作，实施依法行政，根据《中华人民共和国行政许可法》《植物检疫条例》和《植物检疫条例实施细则（农业部分）》等法律法规，结合兵团实际，制定本办法。</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0"/>
          <w:rFonts w:eastAsia="黑体"/>
          <w:b w:val="0"/>
          <w:color w:val="auto"/>
          <w:sz w:val="32"/>
          <w:szCs w:val="32"/>
          <w:highlight w:val="none"/>
        </w:rPr>
        <w:t>第二条</w:t>
      </w:r>
      <w:r>
        <w:rPr>
          <w:rStyle w:val="12"/>
          <w:rFonts w:eastAsia="仿宋_GB2312"/>
          <w:color w:val="auto"/>
          <w:sz w:val="32"/>
          <w:szCs w:val="32"/>
          <w:highlight w:val="none"/>
        </w:rPr>
        <w:t xml:space="preserve">  </w:t>
      </w:r>
      <w:r>
        <w:rPr>
          <w:rStyle w:val="12"/>
          <w:rFonts w:eastAsia="仿宋"/>
          <w:color w:val="auto"/>
          <w:sz w:val="32"/>
          <w:szCs w:val="32"/>
          <w:highlight w:val="none"/>
        </w:rPr>
        <w:t>本办法所称省间调运检疫签证是指对兵团辖区内农作物种子、种苗及其他繁殖材料、列入应施检疫的植物、</w:t>
      </w:r>
      <w:r>
        <w:rPr>
          <w:rStyle w:val="12"/>
          <w:rFonts w:hint="eastAsia" w:ascii="仿宋" w:hAnsi="仿宋" w:eastAsia="仿宋" w:cs="仿宋"/>
          <w:color w:val="auto"/>
          <w:sz w:val="32"/>
          <w:szCs w:val="32"/>
          <w:highlight w:val="none"/>
        </w:rPr>
        <w:t>植物产品名单的以及使用了可能受检疫性有害生物污染的包装材料、运载</w:t>
      </w:r>
      <w:r>
        <w:rPr>
          <w:rStyle w:val="12"/>
          <w:rFonts w:eastAsia="仿宋"/>
          <w:color w:val="auto"/>
          <w:sz w:val="32"/>
          <w:szCs w:val="32"/>
          <w:highlight w:val="none"/>
        </w:rPr>
        <w:t>工具、场地、仓库等储存的植物、植物产品在调出兵团以外任何地区前经产地检疫或调运检疫合格后签发《植物检疫证书（出省）》的一系列工作。</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第三条</w:t>
      </w:r>
      <w:r>
        <w:rPr>
          <w:rStyle w:val="10"/>
          <w:color w:val="auto"/>
          <w:kern w:val="0"/>
          <w:sz w:val="32"/>
          <w:szCs w:val="32"/>
          <w:highlight w:val="none"/>
        </w:rPr>
        <w:t xml:space="preserve">  </w:t>
      </w:r>
      <w:r>
        <w:rPr>
          <w:rStyle w:val="12"/>
          <w:rFonts w:eastAsia="仿宋"/>
          <w:color w:val="auto"/>
          <w:kern w:val="0"/>
          <w:sz w:val="32"/>
          <w:szCs w:val="32"/>
          <w:highlight w:val="none"/>
        </w:rPr>
        <w:t>兵团辖区内应施检疫的植物、植物产品省间调运检疫权限属于</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。根据《中华人民共和国行政许可法》有关规定，</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依据本办法对具备条件的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植物检疫机构，委托办理植物省间调运检疫签证。未经委托的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植物检疫机构不得办理省间调运检疫签证。</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第四条</w:t>
      </w:r>
      <w:r>
        <w:rPr>
          <w:rStyle w:val="10"/>
          <w:color w:val="auto"/>
          <w:kern w:val="0"/>
          <w:sz w:val="32"/>
          <w:szCs w:val="32"/>
          <w:highlight w:val="none"/>
        </w:rPr>
        <w:t xml:space="preserve">  </w:t>
      </w:r>
      <w:r>
        <w:rPr>
          <w:rStyle w:val="12"/>
          <w:rFonts w:eastAsia="仿宋"/>
          <w:color w:val="auto"/>
          <w:kern w:val="0"/>
          <w:sz w:val="32"/>
          <w:szCs w:val="32"/>
          <w:highlight w:val="none"/>
        </w:rPr>
        <w:t>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植物检疫机构要按照《植物检疫条例》等有关法律法规的规定，本着保护农业生产安全，防止危险性病虫草传播蔓延，促进农业发展和贸易流通的原则，对</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植物检疫机构的技术人员、工作环境和检验设施设备等方面进行配备和完善，积极创造条件申请委托。</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第五条</w:t>
      </w:r>
      <w:r>
        <w:rPr>
          <w:rStyle w:val="10"/>
          <w:color w:val="auto"/>
          <w:kern w:val="0"/>
          <w:sz w:val="32"/>
          <w:szCs w:val="32"/>
          <w:highlight w:val="none"/>
        </w:rPr>
        <w:t xml:space="preserve">  </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负责兵团辖区内植物省间调运检疫工作业务指导、监督检查，组织业务培训解决执行中出现的问题。</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第六条</w:t>
      </w:r>
      <w:r>
        <w:rPr>
          <w:rStyle w:val="10"/>
          <w:color w:val="auto"/>
          <w:kern w:val="0"/>
          <w:sz w:val="32"/>
          <w:szCs w:val="32"/>
          <w:highlight w:val="none"/>
        </w:rPr>
        <w:t xml:space="preserve">  </w:t>
      </w:r>
      <w:r>
        <w:rPr>
          <w:rStyle w:val="12"/>
          <w:rFonts w:eastAsia="仿宋"/>
          <w:color w:val="auto"/>
          <w:kern w:val="0"/>
          <w:sz w:val="32"/>
          <w:szCs w:val="32"/>
          <w:highlight w:val="none"/>
        </w:rPr>
        <w:t>申请委托省间调运权限的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植物检疫机构应向</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提出书面委托申请，并具备以下条件：</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（一）具备</w:t>
      </w:r>
      <w:r>
        <w:rPr>
          <w:rStyle w:val="12"/>
          <w:rFonts w:hint="eastAsia" w:eastAsia="仿宋"/>
          <w:color w:val="auto"/>
          <w:kern w:val="0"/>
          <w:sz w:val="32"/>
          <w:szCs w:val="32"/>
          <w:highlight w:val="none"/>
          <w:lang w:val="en-US" w:eastAsia="zh-CN"/>
        </w:rPr>
        <w:t>2</w:t>
      </w:r>
      <w:r>
        <w:rPr>
          <w:rStyle w:val="12"/>
          <w:rFonts w:eastAsia="仿宋"/>
          <w:color w:val="auto"/>
          <w:kern w:val="0"/>
          <w:sz w:val="32"/>
          <w:szCs w:val="32"/>
          <w:highlight w:val="none"/>
        </w:rPr>
        <w:t>名及以上专职植物检疫员。植物检疫员须经集中培训，熟练掌握《植物检疫条例》等有关法律法规和植物检疫检验技术，取得经</w:t>
      </w:r>
      <w:r>
        <w:rPr>
          <w:rStyle w:val="12"/>
          <w:rFonts w:hint="eastAsia" w:eastAsia="仿宋"/>
          <w:color w:val="auto"/>
          <w:kern w:val="0"/>
          <w:sz w:val="32"/>
          <w:szCs w:val="32"/>
          <w:highlight w:val="none"/>
          <w:lang w:val="en-US" w:eastAsia="zh-CN"/>
        </w:rPr>
        <w:t>兵团</w:t>
      </w:r>
      <w:r>
        <w:rPr>
          <w:rStyle w:val="12"/>
          <w:rFonts w:eastAsia="仿宋"/>
          <w:color w:val="auto"/>
          <w:kern w:val="0"/>
          <w:sz w:val="32"/>
          <w:szCs w:val="32"/>
          <w:highlight w:val="none"/>
        </w:rPr>
        <w:t>农业农村局</w:t>
      </w:r>
      <w:r>
        <w:rPr>
          <w:rStyle w:val="12"/>
          <w:rFonts w:hint="eastAsia" w:eastAsia="仿宋"/>
          <w:color w:val="auto"/>
          <w:kern w:val="0"/>
          <w:sz w:val="32"/>
          <w:szCs w:val="32"/>
          <w:highlight w:val="none"/>
          <w:lang w:eastAsia="zh-CN"/>
        </w:rPr>
        <w:t>审批、农业农村</w:t>
      </w:r>
      <w:r>
        <w:rPr>
          <w:rStyle w:val="12"/>
          <w:rFonts w:eastAsia="仿宋"/>
          <w:color w:val="auto"/>
          <w:kern w:val="0"/>
          <w:sz w:val="32"/>
          <w:szCs w:val="32"/>
          <w:highlight w:val="none"/>
        </w:rPr>
        <w:t>部</w:t>
      </w:r>
      <w:r>
        <w:rPr>
          <w:rStyle w:val="12"/>
          <w:rFonts w:hint="eastAsia" w:eastAsia="仿宋"/>
          <w:color w:val="auto"/>
          <w:kern w:val="0"/>
          <w:sz w:val="32"/>
          <w:szCs w:val="32"/>
          <w:highlight w:val="none"/>
        </w:rPr>
        <w:t>全国植保总站</w:t>
      </w:r>
      <w:r>
        <w:rPr>
          <w:rStyle w:val="12"/>
          <w:rFonts w:eastAsia="仿宋"/>
          <w:color w:val="auto"/>
          <w:kern w:val="0"/>
          <w:sz w:val="32"/>
          <w:szCs w:val="32"/>
          <w:highlight w:val="none"/>
        </w:rPr>
        <w:t>备案</w:t>
      </w:r>
      <w:r>
        <w:rPr>
          <w:rStyle w:val="12"/>
          <w:rFonts w:hint="eastAsia" w:eastAsia="仿宋"/>
          <w:color w:val="auto"/>
          <w:kern w:val="0"/>
          <w:sz w:val="32"/>
          <w:szCs w:val="32"/>
          <w:highlight w:val="none"/>
          <w:lang w:eastAsia="zh-CN"/>
        </w:rPr>
        <w:t>发</w:t>
      </w:r>
      <w:r>
        <w:rPr>
          <w:rStyle w:val="12"/>
          <w:rFonts w:eastAsia="仿宋"/>
          <w:color w:val="auto"/>
          <w:kern w:val="0"/>
          <w:sz w:val="32"/>
          <w:szCs w:val="32"/>
          <w:highlight w:val="none"/>
        </w:rPr>
        <w:t>的植物检疫员证，业务</w:t>
      </w:r>
      <w:r>
        <w:rPr>
          <w:rStyle w:val="12"/>
          <w:rFonts w:hint="eastAsia" w:eastAsia="仿宋"/>
          <w:color w:val="auto"/>
          <w:kern w:val="0"/>
          <w:sz w:val="32"/>
          <w:szCs w:val="32"/>
          <w:highlight w:val="none"/>
          <w:lang w:val="en-US" w:eastAsia="zh-CN"/>
        </w:rPr>
        <w:t>能力</w:t>
      </w:r>
      <w:r>
        <w:rPr>
          <w:rStyle w:val="12"/>
          <w:rFonts w:eastAsia="仿宋"/>
          <w:color w:val="auto"/>
          <w:kern w:val="0"/>
          <w:sz w:val="32"/>
          <w:szCs w:val="32"/>
          <w:highlight w:val="none"/>
        </w:rPr>
        <w:t>强，能较好履行植物检疫工作职责。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1"/>
        <w:textAlignment w:val="baseline"/>
        <w:rPr>
          <w:rStyle w:val="12"/>
          <w:rFonts w:eastAsia="仿宋"/>
          <w:color w:val="auto"/>
          <w:kern w:val="0"/>
          <w:sz w:val="32"/>
          <w:szCs w:val="32"/>
          <w:highlight w:val="none"/>
        </w:rPr>
      </w:pPr>
      <w:r>
        <w:rPr>
          <w:rStyle w:val="12"/>
          <w:rFonts w:eastAsia="仿宋"/>
          <w:color w:val="auto"/>
          <w:kern w:val="0"/>
          <w:sz w:val="32"/>
          <w:szCs w:val="32"/>
          <w:highlight w:val="none"/>
        </w:rPr>
        <w:t>（二）具备用于办理《植物检疫证书》的计算机、打印机等日常办公用品和网络传输条件，以及植物检疫检验室（具体要求见附件）、现场检疫设备及相关除害设施。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1"/>
        <w:textAlignment w:val="baseline"/>
        <w:rPr>
          <w:rStyle w:val="12"/>
          <w:rFonts w:eastAsia="仿宋"/>
          <w:color w:val="auto"/>
          <w:kern w:val="0"/>
          <w:sz w:val="32"/>
          <w:szCs w:val="32"/>
          <w:highlight w:val="none"/>
        </w:rPr>
      </w:pPr>
      <w:r>
        <w:rPr>
          <w:rStyle w:val="12"/>
          <w:rFonts w:eastAsia="仿宋"/>
          <w:color w:val="auto"/>
          <w:kern w:val="0"/>
          <w:sz w:val="32"/>
          <w:szCs w:val="32"/>
          <w:highlight w:val="none"/>
        </w:rPr>
        <w:t>（三）内部管理制度健全，由专人负责《植物检疫证书》管理、申领和使用，检疫证书严格按规定签发。</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第七条</w:t>
      </w:r>
      <w:r>
        <w:rPr>
          <w:rStyle w:val="10"/>
          <w:color w:val="auto"/>
          <w:kern w:val="0"/>
          <w:sz w:val="32"/>
          <w:szCs w:val="32"/>
          <w:highlight w:val="none"/>
        </w:rPr>
        <w:t xml:space="preserve">  </w:t>
      </w:r>
      <w:r>
        <w:rPr>
          <w:rStyle w:val="12"/>
          <w:rFonts w:eastAsia="仿宋"/>
          <w:color w:val="auto"/>
          <w:kern w:val="0"/>
          <w:sz w:val="32"/>
          <w:szCs w:val="32"/>
          <w:highlight w:val="none"/>
        </w:rPr>
        <w:t>委托程序</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符合条件的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植物检疫机构向</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提出申请，填报《植物省间调运检疫签证委托申请书》等申报材料。</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对申报材料进行审核并实地考察，对审查合格的</w:t>
      </w:r>
      <w:r>
        <w:rPr>
          <w:rStyle w:val="12"/>
          <w:rFonts w:hint="eastAsia" w:eastAsia="仿宋"/>
          <w:color w:val="auto"/>
          <w:kern w:val="0"/>
          <w:sz w:val="32"/>
          <w:szCs w:val="32"/>
          <w:highlight w:val="none"/>
          <w:lang w:eastAsia="zh-CN"/>
        </w:rPr>
        <w:t>师</w:t>
      </w:r>
      <w:r>
        <w:rPr>
          <w:rStyle w:val="12"/>
          <w:rFonts w:eastAsia="仿宋"/>
          <w:color w:val="auto"/>
          <w:kern w:val="0"/>
          <w:sz w:val="32"/>
          <w:szCs w:val="32"/>
          <w:highlight w:val="none"/>
        </w:rPr>
        <w:t>植物检疫机构颁发《新疆生产建设兵团植物省间调运检疫签证委托书》，委托其开展辖区内植物省间调运检疫签证工作。</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第八条</w:t>
      </w:r>
      <w:r>
        <w:rPr>
          <w:rStyle w:val="10"/>
          <w:color w:val="auto"/>
          <w:kern w:val="0"/>
          <w:sz w:val="32"/>
          <w:szCs w:val="32"/>
          <w:highlight w:val="none"/>
        </w:rPr>
        <w:t xml:space="preserve">  </w:t>
      </w:r>
      <w:r>
        <w:rPr>
          <w:rStyle w:val="12"/>
          <w:rFonts w:eastAsia="仿宋"/>
          <w:color w:val="auto"/>
          <w:kern w:val="0"/>
          <w:sz w:val="32"/>
          <w:szCs w:val="32"/>
          <w:highlight w:val="none"/>
        </w:rPr>
        <w:t>被委托单位的权利与职责</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（一）省间调运签证使用盖有“新疆生产建设</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植物检疫专用章”的《植物检疫证书（出省）》。</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二）对省外调入本地的应施检疫的植物、植物产品提出检疫要求，出具《农业植物调运检疫要求书》。对调入的应施检疫的植物、植物产品应当查验调出地植物检疫机构签发的《植物检疫证书》，必要时可以进行复检，复检确认合格的，予以放行。</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（三）受理调出单位或个人申报的应施检疫植物、植物产品省间调运检疫申请，实施检疫检验，监督除害处理，签发省间调运检疫证书。</w:t>
      </w:r>
    </w:p>
    <w:p>
      <w:pPr>
        <w:spacing w:line="540" w:lineRule="exact"/>
        <w:ind w:firstLine="640" w:firstLineChars="200"/>
        <w:rPr>
          <w:rStyle w:val="12"/>
          <w:rFonts w:eastAsia="仿宋"/>
          <w:color w:val="auto"/>
          <w:kern w:val="0"/>
          <w:sz w:val="32"/>
          <w:szCs w:val="32"/>
          <w:highlight w:val="none"/>
        </w:rPr>
      </w:pPr>
      <w:r>
        <w:rPr>
          <w:rStyle w:val="12"/>
          <w:rFonts w:eastAsia="仿宋"/>
          <w:color w:val="auto"/>
          <w:kern w:val="0"/>
          <w:sz w:val="32"/>
          <w:szCs w:val="32"/>
          <w:highlight w:val="none"/>
        </w:rPr>
        <w:t>（四）《植物检疫证书（出省）》办理程序</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检疫受理</w:t>
      </w:r>
      <w:r>
        <w:rPr>
          <w:rStyle w:val="12"/>
          <w:rFonts w:hint="eastAsia" w:eastAsia="仿宋"/>
          <w:color w:val="auto"/>
          <w:kern w:val="0"/>
          <w:sz w:val="32"/>
          <w:szCs w:val="32"/>
          <w:highlight w:val="none"/>
          <w:lang w:eastAsia="zh-CN"/>
        </w:rPr>
        <w:t>：</w:t>
      </w:r>
      <w:r>
        <w:rPr>
          <w:rStyle w:val="12"/>
          <w:rFonts w:eastAsia="仿宋"/>
          <w:color w:val="auto"/>
          <w:kern w:val="0"/>
          <w:sz w:val="32"/>
          <w:szCs w:val="32"/>
          <w:highlight w:val="none"/>
        </w:rPr>
        <w:t>调出单位或个人需向调出地植物检疫机构提交《农业植物调运检疫申请书》及调入地省级植物检疫机构或其委托的植物检疫机构出具的《农业植物调运检疫要求书》等材料。</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检疫审查</w:t>
      </w:r>
      <w:r>
        <w:rPr>
          <w:rStyle w:val="12"/>
          <w:rFonts w:hint="eastAsia" w:eastAsia="仿宋"/>
          <w:color w:val="auto"/>
          <w:kern w:val="0"/>
          <w:sz w:val="32"/>
          <w:szCs w:val="32"/>
          <w:highlight w:val="none"/>
          <w:lang w:eastAsia="zh-CN"/>
        </w:rPr>
        <w:t>：</w:t>
      </w:r>
      <w:r>
        <w:rPr>
          <w:rStyle w:val="12"/>
          <w:rFonts w:eastAsia="仿宋"/>
          <w:color w:val="auto"/>
          <w:kern w:val="0"/>
          <w:sz w:val="32"/>
          <w:szCs w:val="32"/>
          <w:highlight w:val="none"/>
        </w:rPr>
        <w:t>分下列</w:t>
      </w:r>
      <w:r>
        <w:rPr>
          <w:rStyle w:val="12"/>
          <w:rFonts w:hint="eastAsia" w:eastAsia="仿宋"/>
          <w:color w:val="auto"/>
          <w:kern w:val="0"/>
          <w:sz w:val="32"/>
          <w:szCs w:val="32"/>
          <w:highlight w:val="none"/>
          <w:lang w:eastAsia="zh-CN"/>
        </w:rPr>
        <w:t>三</w:t>
      </w:r>
      <w:r>
        <w:rPr>
          <w:rStyle w:val="12"/>
          <w:rFonts w:eastAsia="仿宋"/>
          <w:color w:val="auto"/>
          <w:kern w:val="0"/>
          <w:sz w:val="32"/>
          <w:szCs w:val="32"/>
          <w:highlight w:val="none"/>
        </w:rPr>
        <w:t>类情况进行审查。</w:t>
      </w:r>
    </w:p>
    <w:p>
      <w:pPr>
        <w:shd w:val="clear" w:color="auto" w:fill="FFFFFF"/>
        <w:spacing w:line="540" w:lineRule="exact"/>
        <w:ind w:firstLine="643"/>
        <w:rPr>
          <w:rStyle w:val="12"/>
          <w:rFonts w:hint="eastAsia" w:eastAsia="仿宋"/>
          <w:color w:val="auto"/>
          <w:kern w:val="0"/>
          <w:sz w:val="32"/>
          <w:szCs w:val="32"/>
          <w:highlight w:val="none"/>
          <w:lang w:eastAsia="zh-CN"/>
        </w:rPr>
      </w:pPr>
      <w:r>
        <w:rPr>
          <w:rStyle w:val="12"/>
          <w:rFonts w:eastAsia="仿宋"/>
          <w:color w:val="auto"/>
          <w:kern w:val="0"/>
          <w:sz w:val="32"/>
          <w:szCs w:val="32"/>
          <w:highlight w:val="none"/>
        </w:rPr>
        <w:t>产检换证。经产地检疫合格的，调出前凭调出地植物检疫机构出具的《产地检疫合格证》换取《植物检疫证书（出省）》，受理当日即可签发证书</w:t>
      </w:r>
      <w:r>
        <w:rPr>
          <w:rStyle w:val="12"/>
          <w:rFonts w:hint="eastAsia" w:eastAsia="仿宋"/>
          <w:color w:val="auto"/>
          <w:kern w:val="0"/>
          <w:sz w:val="32"/>
          <w:szCs w:val="32"/>
          <w:highlight w:val="none"/>
          <w:lang w:eastAsia="zh-CN"/>
        </w:rPr>
        <w:t>。</w:t>
      </w:r>
    </w:p>
    <w:p>
      <w:pPr>
        <w:shd w:val="clear" w:color="auto" w:fill="FFFFFF"/>
        <w:spacing w:line="540" w:lineRule="exact"/>
        <w:ind w:firstLine="643"/>
        <w:rPr>
          <w:rStyle w:val="12"/>
          <w:rFonts w:hint="eastAsia" w:eastAsia="仿宋"/>
          <w:color w:val="auto"/>
          <w:kern w:val="0"/>
          <w:sz w:val="32"/>
          <w:szCs w:val="32"/>
          <w:highlight w:val="none"/>
          <w:lang w:eastAsia="zh-CN"/>
        </w:rPr>
      </w:pPr>
      <w:r>
        <w:rPr>
          <w:rStyle w:val="12"/>
          <w:rFonts w:eastAsia="仿宋"/>
          <w:color w:val="auto"/>
          <w:kern w:val="0"/>
          <w:sz w:val="32"/>
          <w:szCs w:val="32"/>
          <w:highlight w:val="none"/>
        </w:rPr>
        <w:t>再次调运。非本辖区生产的应检植物、植物产品在调出前应出具原调出地植物检疫机构签发的《植物检疫证书》，并提供附有“植物检疫证编号”的应检植物、植物产品随机抽样的样品等换取《植物检疫证书（出省）》</w:t>
      </w:r>
      <w:r>
        <w:rPr>
          <w:rStyle w:val="12"/>
          <w:rFonts w:hint="eastAsia" w:eastAsia="仿宋"/>
          <w:color w:val="auto"/>
          <w:kern w:val="0"/>
          <w:sz w:val="32"/>
          <w:szCs w:val="32"/>
          <w:highlight w:val="none"/>
          <w:lang w:eastAsia="zh-CN"/>
        </w:rPr>
        <w:t>。</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直接调运。对未经产地检疫或产地检疫合格证过有效期的应检植物、植物产品进行现场或实验室检疫，经检疫合格的，签发《植物检疫证书（出省）》。经检疫不合格的，调运单位或个人应当按照要求，作除害处理合格后，签发《植物检疫证书（出省）》。未经除害处理或处理不合格的，不予签发。</w:t>
      </w:r>
    </w:p>
    <w:p>
      <w:pPr>
        <w:shd w:val="clear" w:color="auto" w:fill="FFFFFF"/>
        <w:spacing w:line="54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证书签发</w:t>
      </w:r>
      <w:r>
        <w:rPr>
          <w:rStyle w:val="12"/>
          <w:rFonts w:hint="eastAsia" w:eastAsia="仿宋"/>
          <w:color w:val="auto"/>
          <w:kern w:val="0"/>
          <w:sz w:val="32"/>
          <w:szCs w:val="32"/>
          <w:highlight w:val="none"/>
          <w:lang w:eastAsia="zh-CN"/>
        </w:rPr>
        <w:t>。</w:t>
      </w:r>
      <w:r>
        <w:rPr>
          <w:rStyle w:val="12"/>
          <w:rFonts w:eastAsia="仿宋"/>
          <w:color w:val="auto"/>
          <w:kern w:val="0"/>
          <w:sz w:val="32"/>
          <w:szCs w:val="32"/>
          <w:highlight w:val="none"/>
        </w:rPr>
        <w:t>植物检疫员登录《全国植物检疫信息化管理系统》，根据《农业植物调运检疫申请书》</w:t>
      </w:r>
      <w:r>
        <w:rPr>
          <w:rStyle w:val="12"/>
          <w:rFonts w:hint="eastAsia" w:eastAsia="仿宋"/>
          <w:color w:val="auto"/>
          <w:kern w:val="0"/>
          <w:sz w:val="32"/>
          <w:szCs w:val="32"/>
          <w:highlight w:val="none"/>
          <w:lang w:val="en-US" w:eastAsia="zh-CN"/>
        </w:rPr>
        <w:t>等材料</w:t>
      </w:r>
      <w:r>
        <w:rPr>
          <w:rStyle w:val="12"/>
          <w:rFonts w:eastAsia="仿宋"/>
          <w:color w:val="auto"/>
          <w:kern w:val="0"/>
          <w:sz w:val="32"/>
          <w:szCs w:val="32"/>
          <w:highlight w:val="none"/>
        </w:rPr>
        <w:t>，受理</w:t>
      </w:r>
      <w:r>
        <w:rPr>
          <w:rStyle w:val="12"/>
          <w:rFonts w:hint="eastAsia" w:eastAsia="仿宋"/>
          <w:color w:val="auto"/>
          <w:kern w:val="0"/>
          <w:sz w:val="32"/>
          <w:szCs w:val="32"/>
          <w:highlight w:val="none"/>
          <w:lang w:val="en-US" w:eastAsia="zh-CN"/>
        </w:rPr>
        <w:t>并</w:t>
      </w:r>
      <w:r>
        <w:rPr>
          <w:rStyle w:val="12"/>
          <w:rFonts w:eastAsia="仿宋"/>
          <w:color w:val="auto"/>
          <w:kern w:val="0"/>
          <w:sz w:val="32"/>
          <w:szCs w:val="32"/>
          <w:highlight w:val="none"/>
        </w:rPr>
        <w:t>签发《植物检疫证书（出省）》</w:t>
      </w:r>
      <w:r>
        <w:rPr>
          <w:rStyle w:val="12"/>
          <w:rFonts w:hint="eastAsia" w:eastAsia="仿宋"/>
          <w:color w:val="auto"/>
          <w:kern w:val="0"/>
          <w:sz w:val="32"/>
          <w:szCs w:val="32"/>
          <w:highlight w:val="none"/>
          <w:lang w:eastAsia="zh-CN"/>
        </w:rPr>
        <w:t>，</w:t>
      </w:r>
      <w:r>
        <w:rPr>
          <w:rStyle w:val="12"/>
          <w:rFonts w:eastAsia="仿宋"/>
          <w:color w:val="auto"/>
          <w:kern w:val="0"/>
          <w:sz w:val="32"/>
          <w:szCs w:val="32"/>
          <w:highlight w:val="none"/>
        </w:rPr>
        <w:t>打印</w:t>
      </w:r>
      <w:r>
        <w:rPr>
          <w:rStyle w:val="12"/>
          <w:rFonts w:hint="eastAsia" w:eastAsia="仿宋"/>
          <w:color w:val="auto"/>
          <w:kern w:val="0"/>
          <w:sz w:val="32"/>
          <w:szCs w:val="32"/>
          <w:highlight w:val="none"/>
          <w:lang w:val="en-US" w:eastAsia="zh-CN"/>
        </w:rPr>
        <w:t>后</w:t>
      </w:r>
      <w:r>
        <w:rPr>
          <w:rStyle w:val="12"/>
          <w:rFonts w:eastAsia="仿宋"/>
          <w:color w:val="auto"/>
          <w:kern w:val="0"/>
          <w:sz w:val="32"/>
          <w:szCs w:val="32"/>
          <w:highlight w:val="none"/>
        </w:rPr>
        <w:t>加盖</w:t>
      </w:r>
      <w:r>
        <w:rPr>
          <w:rStyle w:val="12"/>
          <w:rFonts w:hint="eastAsia" w:eastAsia="仿宋"/>
          <w:color w:val="auto"/>
          <w:kern w:val="0"/>
          <w:sz w:val="32"/>
          <w:szCs w:val="32"/>
          <w:highlight w:val="none"/>
          <w:lang w:val="en-US" w:eastAsia="zh-CN"/>
        </w:rPr>
        <w:t>被</w:t>
      </w:r>
      <w:r>
        <w:rPr>
          <w:rStyle w:val="12"/>
          <w:rFonts w:eastAsia="仿宋"/>
          <w:color w:val="auto"/>
          <w:kern w:val="0"/>
          <w:sz w:val="32"/>
          <w:szCs w:val="32"/>
          <w:highlight w:val="none"/>
        </w:rPr>
        <w:t>委托单位的植物检疫专用章，由专职植物检疫员署名签发后方可生效。</w:t>
      </w:r>
    </w:p>
    <w:p>
      <w:pPr>
        <w:pStyle w:val="16"/>
        <w:shd w:val="clear" w:color="auto" w:fill="FFFFFF"/>
        <w:spacing w:before="0" w:beforeAutospacing="0" w:after="0" w:afterAutospacing="0" w:line="540" w:lineRule="exact"/>
        <w:ind w:firstLine="640" w:firstLineChars="200"/>
        <w:jc w:val="both"/>
        <w:rPr>
          <w:rStyle w:val="12"/>
          <w:rFonts w:eastAsia="仿宋"/>
          <w:color w:val="auto"/>
          <w:sz w:val="32"/>
          <w:szCs w:val="32"/>
          <w:highlight w:val="none"/>
        </w:rPr>
      </w:pPr>
      <w:r>
        <w:rPr>
          <w:rStyle w:val="12"/>
          <w:rFonts w:eastAsia="仿宋"/>
          <w:color w:val="auto"/>
          <w:sz w:val="32"/>
          <w:szCs w:val="32"/>
          <w:highlight w:val="none"/>
        </w:rPr>
        <w:t>（五）</w:t>
      </w:r>
      <w:r>
        <w:rPr>
          <w:rStyle w:val="12"/>
          <w:rFonts w:hint="eastAsia" w:eastAsia="仿宋"/>
          <w:color w:val="auto"/>
          <w:sz w:val="32"/>
          <w:szCs w:val="32"/>
          <w:highlight w:val="none"/>
          <w:lang w:val="en-US" w:eastAsia="zh-CN"/>
        </w:rPr>
        <w:t>被</w:t>
      </w:r>
      <w:r>
        <w:rPr>
          <w:rStyle w:val="12"/>
          <w:rFonts w:eastAsia="仿宋"/>
          <w:color w:val="auto"/>
          <w:sz w:val="32"/>
          <w:szCs w:val="32"/>
          <w:highlight w:val="none"/>
        </w:rPr>
        <w:t>委托单位要按照《新疆生产建设兵团植物检疫证书使用管理办法》，严格《植物检疫证书（出省）》的申领、使用、管理和核销，对植物检疫机构留存联（即第二联）做好档案保存，保存期限3年。《植物检疫证书（出省）》使用完后向</w:t>
      </w:r>
      <w:r>
        <w:rPr>
          <w:rStyle w:val="12"/>
          <w:rFonts w:hint="eastAsia" w:eastAsia="仿宋"/>
          <w:color w:val="auto"/>
          <w:sz w:val="32"/>
          <w:szCs w:val="32"/>
          <w:highlight w:val="none"/>
          <w:lang w:eastAsia="zh-CN"/>
        </w:rPr>
        <w:t>兵团植物检疫机构</w:t>
      </w:r>
      <w:r>
        <w:rPr>
          <w:rStyle w:val="12"/>
          <w:rFonts w:eastAsia="仿宋"/>
          <w:color w:val="auto"/>
          <w:sz w:val="32"/>
          <w:szCs w:val="32"/>
          <w:highlight w:val="none"/>
        </w:rPr>
        <w:t>进行申领。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baseline"/>
        <w:rPr>
          <w:rStyle w:val="12"/>
          <w:rFonts w:eastAsia="仿宋"/>
          <w:color w:val="auto"/>
          <w:kern w:val="0"/>
          <w:sz w:val="32"/>
          <w:szCs w:val="32"/>
          <w:highlight w:val="none"/>
        </w:rPr>
      </w:pPr>
      <w:r>
        <w:rPr>
          <w:rStyle w:val="10"/>
          <w:rFonts w:eastAsia="黑体"/>
          <w:b w:val="0"/>
          <w:color w:val="auto"/>
          <w:kern w:val="0"/>
          <w:sz w:val="32"/>
          <w:szCs w:val="32"/>
          <w:highlight w:val="none"/>
        </w:rPr>
        <w:t>第</w:t>
      </w:r>
      <w:r>
        <w:rPr>
          <w:rStyle w:val="10"/>
          <w:rFonts w:eastAsia="黑体"/>
          <w:b w:val="0"/>
          <w:color w:val="auto"/>
          <w:sz w:val="32"/>
          <w:szCs w:val="32"/>
          <w:highlight w:val="none"/>
        </w:rPr>
        <w:t>九</w:t>
      </w:r>
      <w:r>
        <w:rPr>
          <w:rStyle w:val="10"/>
          <w:rFonts w:eastAsia="黑体"/>
          <w:b w:val="0"/>
          <w:color w:val="auto"/>
          <w:kern w:val="0"/>
          <w:sz w:val="32"/>
          <w:szCs w:val="32"/>
          <w:highlight w:val="none"/>
        </w:rPr>
        <w:t>条</w:t>
      </w:r>
      <w:r>
        <w:rPr>
          <w:rStyle w:val="12"/>
          <w:rFonts w:eastAsia="仿宋"/>
          <w:color w:val="auto"/>
          <w:kern w:val="0"/>
          <w:sz w:val="32"/>
          <w:szCs w:val="32"/>
          <w:highlight w:val="none"/>
        </w:rPr>
        <w:t xml:space="preserve">  植物省间调运检疫签证委托期限为2年。</w:t>
      </w:r>
      <w:r>
        <w:rPr>
          <w:rStyle w:val="12"/>
          <w:rFonts w:hint="eastAsia" w:eastAsia="仿宋"/>
          <w:color w:val="auto"/>
          <w:kern w:val="0"/>
          <w:sz w:val="32"/>
          <w:szCs w:val="32"/>
          <w:highlight w:val="none"/>
          <w:lang w:val="en-US" w:eastAsia="zh-CN"/>
        </w:rPr>
        <w:t>被</w:t>
      </w:r>
      <w:r>
        <w:rPr>
          <w:rStyle w:val="12"/>
          <w:rFonts w:eastAsia="仿宋"/>
          <w:color w:val="auto"/>
          <w:kern w:val="0"/>
          <w:sz w:val="32"/>
          <w:szCs w:val="32"/>
          <w:highlight w:val="none"/>
        </w:rPr>
        <w:t>委托单位要严格执行《植物检疫条例》等有关法律法规，认真履行委托职责和权利，期满经审查合格的，重新颁发《新疆生产建设兵团植物省间调运检疫签证委托书》。如</w:t>
      </w:r>
      <w:r>
        <w:rPr>
          <w:rStyle w:val="12"/>
          <w:rFonts w:hint="eastAsia" w:eastAsia="仿宋"/>
          <w:color w:val="auto"/>
          <w:kern w:val="0"/>
          <w:sz w:val="32"/>
          <w:szCs w:val="32"/>
          <w:highlight w:val="none"/>
          <w:lang w:val="en-US" w:eastAsia="zh-CN"/>
        </w:rPr>
        <w:t>被</w:t>
      </w:r>
      <w:r>
        <w:rPr>
          <w:rStyle w:val="12"/>
          <w:rFonts w:eastAsia="仿宋"/>
          <w:color w:val="auto"/>
          <w:kern w:val="0"/>
          <w:sz w:val="32"/>
          <w:szCs w:val="32"/>
          <w:highlight w:val="none"/>
        </w:rPr>
        <w:t>委托单位因植物检疫人员变动缺乏必要工作人员的、内部管理混乱造成重大失误的、拒绝履行应尽职责的或有其他违法行为的，</w:t>
      </w:r>
      <w:r>
        <w:rPr>
          <w:rStyle w:val="12"/>
          <w:rFonts w:hint="eastAsia" w:eastAsia="仿宋"/>
          <w:color w:val="auto"/>
          <w:kern w:val="0"/>
          <w:sz w:val="32"/>
          <w:szCs w:val="32"/>
          <w:highlight w:val="none"/>
          <w:lang w:eastAsia="zh-CN"/>
        </w:rPr>
        <w:t>兵团植物检疫机构</w:t>
      </w:r>
      <w:r>
        <w:rPr>
          <w:rStyle w:val="12"/>
          <w:rFonts w:eastAsia="仿宋"/>
          <w:color w:val="auto"/>
          <w:kern w:val="0"/>
          <w:sz w:val="32"/>
          <w:szCs w:val="32"/>
          <w:highlight w:val="none"/>
        </w:rPr>
        <w:t>立即终止委托，收回《新疆生产建设兵团植物省间调运检疫签证委托书》和《植物检疫证书（出省）》。构成犯罪的，依法追究刑事责任。</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第十条</w:t>
      </w:r>
      <w:r>
        <w:rPr>
          <w:rStyle w:val="10"/>
          <w:color w:val="auto"/>
          <w:kern w:val="0"/>
          <w:sz w:val="32"/>
          <w:szCs w:val="32"/>
          <w:highlight w:val="none"/>
        </w:rPr>
        <w:t xml:space="preserve"> </w:t>
      </w:r>
      <w:r>
        <w:rPr>
          <w:rStyle w:val="12"/>
          <w:color w:val="auto"/>
          <w:kern w:val="0"/>
          <w:sz w:val="32"/>
          <w:szCs w:val="32"/>
          <w:highlight w:val="none"/>
        </w:rPr>
        <w:t xml:space="preserve"> </w:t>
      </w:r>
      <w:r>
        <w:rPr>
          <w:rStyle w:val="12"/>
          <w:rFonts w:hint="eastAsia" w:eastAsia="仿宋"/>
          <w:color w:val="auto"/>
          <w:kern w:val="0"/>
          <w:sz w:val="32"/>
          <w:szCs w:val="32"/>
          <w:highlight w:val="none"/>
          <w:lang w:val="en-US" w:eastAsia="zh-CN"/>
        </w:rPr>
        <w:t>被</w:t>
      </w:r>
      <w:r>
        <w:rPr>
          <w:rStyle w:val="12"/>
          <w:rFonts w:eastAsia="仿宋"/>
          <w:color w:val="auto"/>
          <w:kern w:val="0"/>
          <w:sz w:val="32"/>
          <w:szCs w:val="32"/>
          <w:highlight w:val="none"/>
        </w:rPr>
        <w:t>委托单位严格按要求开展相关工作，不得再次委托或变相再次委托其他单位或个人办理《植物检疫证书（出省）》。</w:t>
      </w:r>
    </w:p>
    <w:p>
      <w:pPr>
        <w:shd w:val="clear" w:color="auto" w:fill="FFFFFF"/>
        <w:spacing w:line="540" w:lineRule="exact"/>
        <w:ind w:firstLine="643"/>
        <w:rPr>
          <w:rStyle w:val="12"/>
          <w:rFonts w:eastAsia="仿宋"/>
          <w:color w:val="auto"/>
          <w:kern w:val="0"/>
          <w:sz w:val="32"/>
          <w:szCs w:val="32"/>
          <w:highlight w:val="none"/>
        </w:rPr>
      </w:pPr>
      <w:r>
        <w:rPr>
          <w:rStyle w:val="10"/>
          <w:rFonts w:eastAsia="黑体"/>
          <w:b w:val="0"/>
          <w:bCs/>
          <w:color w:val="auto"/>
          <w:kern w:val="0"/>
          <w:sz w:val="32"/>
          <w:szCs w:val="32"/>
          <w:highlight w:val="none"/>
        </w:rPr>
        <w:t>第十一条</w:t>
      </w:r>
      <w:r>
        <w:rPr>
          <w:rStyle w:val="10"/>
          <w:color w:val="auto"/>
          <w:kern w:val="0"/>
          <w:sz w:val="32"/>
          <w:szCs w:val="32"/>
          <w:highlight w:val="none"/>
        </w:rPr>
        <w:t xml:space="preserve">  </w:t>
      </w:r>
      <w:r>
        <w:rPr>
          <w:rStyle w:val="12"/>
          <w:rFonts w:eastAsia="仿宋"/>
          <w:color w:val="auto"/>
          <w:kern w:val="0"/>
          <w:sz w:val="32"/>
          <w:szCs w:val="32"/>
          <w:highlight w:val="none"/>
        </w:rPr>
        <w:t>本办法解释权属于新疆生产建设兵团农业农村局。</w:t>
      </w:r>
    </w:p>
    <w:p>
      <w:pPr>
        <w:shd w:val="clear" w:color="auto" w:fill="FFFFFF"/>
        <w:spacing w:line="540" w:lineRule="exact"/>
        <w:ind w:firstLine="643"/>
        <w:rPr>
          <w:rStyle w:val="12"/>
          <w:color w:val="auto"/>
          <w:sz w:val="32"/>
          <w:szCs w:val="32"/>
          <w:highlight w:val="none"/>
        </w:rPr>
      </w:pPr>
      <w:r>
        <w:rPr>
          <w:rStyle w:val="10"/>
          <w:rFonts w:eastAsia="黑体"/>
          <w:b w:val="0"/>
          <w:bCs/>
          <w:color w:val="auto"/>
          <w:kern w:val="0"/>
          <w:sz w:val="32"/>
          <w:szCs w:val="32"/>
          <w:highlight w:val="none"/>
        </w:rPr>
        <w:t>第十二条</w:t>
      </w:r>
      <w:r>
        <w:rPr>
          <w:rStyle w:val="10"/>
          <w:color w:val="auto"/>
          <w:kern w:val="0"/>
          <w:sz w:val="32"/>
          <w:szCs w:val="32"/>
          <w:highlight w:val="none"/>
        </w:rPr>
        <w:t xml:space="preserve">  </w:t>
      </w:r>
      <w:r>
        <w:rPr>
          <w:rStyle w:val="12"/>
          <w:rFonts w:eastAsia="仿宋"/>
          <w:color w:val="auto"/>
          <w:kern w:val="0"/>
          <w:sz w:val="32"/>
          <w:szCs w:val="32"/>
          <w:highlight w:val="none"/>
        </w:rPr>
        <w:t>本办法自印发之日起执行。</w:t>
      </w:r>
      <w:r>
        <w:rPr>
          <w:rStyle w:val="12"/>
          <w:color w:val="auto"/>
          <w:sz w:val="32"/>
          <w:szCs w:val="32"/>
          <w:highlight w:val="none"/>
        </w:rPr>
        <w:t xml:space="preserve"> </w:t>
      </w:r>
    </w:p>
    <w:p>
      <w:pPr>
        <w:shd w:val="clear" w:color="auto" w:fill="FFFFFF"/>
        <w:spacing w:line="560" w:lineRule="exact"/>
        <w:jc w:val="center"/>
        <w:rPr>
          <w:rStyle w:val="12"/>
          <w:color w:val="auto"/>
          <w:sz w:val="32"/>
          <w:szCs w:val="32"/>
          <w:highlight w:val="none"/>
        </w:rPr>
      </w:pPr>
      <w:r>
        <w:rPr>
          <w:rStyle w:val="12"/>
          <w:color w:val="auto"/>
          <w:sz w:val="32"/>
          <w:szCs w:val="32"/>
          <w:highlight w:val="none"/>
        </w:rPr>
        <w:br w:type="textWrapping"/>
      </w:r>
    </w:p>
    <w:p>
      <w:pPr>
        <w:shd w:val="clear" w:color="auto" w:fill="FFFFFF"/>
        <w:spacing w:line="560" w:lineRule="exact"/>
        <w:jc w:val="center"/>
        <w:rPr>
          <w:rStyle w:val="12"/>
          <w:rFonts w:eastAsia="方正小标宋_GBK"/>
          <w:color w:val="auto"/>
          <w:sz w:val="36"/>
          <w:szCs w:val="36"/>
          <w:highlight w:val="none"/>
        </w:rPr>
      </w:pPr>
      <w:r>
        <w:rPr>
          <w:rStyle w:val="10"/>
          <w:rFonts w:eastAsia="方正小标宋简体"/>
          <w:b w:val="0"/>
          <w:color w:val="auto"/>
          <w:kern w:val="0"/>
          <w:sz w:val="44"/>
          <w:szCs w:val="44"/>
          <w:highlight w:val="none"/>
        </w:rPr>
        <w:br w:type="page"/>
      </w:r>
      <w:r>
        <w:rPr>
          <w:rStyle w:val="10"/>
          <w:rFonts w:eastAsia="方正小标宋简体"/>
          <w:b w:val="0"/>
          <w:color w:val="auto"/>
          <w:kern w:val="0"/>
          <w:sz w:val="44"/>
          <w:szCs w:val="44"/>
          <w:highlight w:val="none"/>
        </w:rPr>
        <w:t>植物检疫检验室验收标准</w:t>
      </w:r>
    </w:p>
    <w:p>
      <w:pPr>
        <w:shd w:val="clear" w:color="auto" w:fill="FFFFFF"/>
        <w:spacing w:line="560" w:lineRule="exact"/>
        <w:ind w:firstLine="602" w:firstLineChars="200"/>
        <w:rPr>
          <w:rStyle w:val="10"/>
          <w:rFonts w:eastAsia="黑体"/>
          <w:color w:val="auto"/>
          <w:kern w:val="0"/>
          <w:sz w:val="30"/>
          <w:szCs w:val="30"/>
          <w:highlight w:val="none"/>
        </w:rPr>
      </w:pPr>
    </w:p>
    <w:p>
      <w:pPr>
        <w:shd w:val="clear" w:color="auto" w:fill="FFFFFF"/>
        <w:spacing w:line="560" w:lineRule="exact"/>
        <w:ind w:firstLine="640" w:firstLineChars="200"/>
        <w:rPr>
          <w:rStyle w:val="12"/>
          <w:rFonts w:eastAsia="黑体"/>
          <w:bCs/>
          <w:color w:val="auto"/>
          <w:kern w:val="0"/>
          <w:sz w:val="32"/>
          <w:szCs w:val="32"/>
          <w:highlight w:val="none"/>
        </w:rPr>
      </w:pPr>
      <w:r>
        <w:rPr>
          <w:rStyle w:val="10"/>
          <w:rFonts w:eastAsia="黑体"/>
          <w:b w:val="0"/>
          <w:bCs/>
          <w:color w:val="auto"/>
          <w:kern w:val="0"/>
          <w:sz w:val="32"/>
          <w:szCs w:val="32"/>
          <w:highlight w:val="none"/>
        </w:rPr>
        <w:t>一、检验室仪器设备要求</w:t>
      </w:r>
    </w:p>
    <w:p>
      <w:pPr>
        <w:shd w:val="clear" w:color="auto" w:fill="FFFFFF"/>
        <w:spacing w:line="560" w:lineRule="exact"/>
        <w:ind w:firstLine="643"/>
        <w:rPr>
          <w:rStyle w:val="12"/>
          <w:rFonts w:eastAsia="仿宋"/>
          <w:color w:val="auto"/>
          <w:kern w:val="0"/>
          <w:sz w:val="32"/>
          <w:szCs w:val="32"/>
          <w:highlight w:val="none"/>
        </w:rPr>
      </w:pPr>
      <w:r>
        <w:rPr>
          <w:rStyle w:val="12"/>
          <w:rFonts w:eastAsia="仿宋"/>
          <w:color w:val="auto"/>
          <w:kern w:val="0"/>
          <w:sz w:val="32"/>
          <w:szCs w:val="32"/>
          <w:highlight w:val="none"/>
        </w:rPr>
        <w:t>生物显微镜、双目解剖镜、离心机、光照培养箱、超净工作台等5种必备的仪器设备，其他仪器设备最少有2种以上。能保证正常开展常规的病原菌分离、组织培养及鉴定工作。</w:t>
      </w:r>
    </w:p>
    <w:p>
      <w:pPr>
        <w:shd w:val="clear" w:color="auto" w:fill="FFFFFF"/>
        <w:spacing w:line="560" w:lineRule="exact"/>
        <w:ind w:firstLine="640" w:firstLineChars="200"/>
        <w:rPr>
          <w:rStyle w:val="10"/>
          <w:rFonts w:eastAsia="黑体"/>
          <w:b w:val="0"/>
          <w:color w:val="auto"/>
          <w:kern w:val="0"/>
          <w:sz w:val="32"/>
          <w:szCs w:val="32"/>
          <w:highlight w:val="none"/>
        </w:rPr>
      </w:pPr>
      <w:r>
        <w:rPr>
          <w:rStyle w:val="10"/>
          <w:rFonts w:eastAsia="黑体"/>
          <w:b w:val="0"/>
          <w:color w:val="auto"/>
          <w:kern w:val="0"/>
          <w:sz w:val="32"/>
          <w:szCs w:val="32"/>
          <w:highlight w:val="none"/>
        </w:rPr>
        <w:t>二、检验室相关要求</w:t>
      </w:r>
    </w:p>
    <w:p>
      <w:pPr>
        <w:shd w:val="clear" w:color="auto" w:fill="FFFFFF"/>
        <w:spacing w:line="560" w:lineRule="exact"/>
        <w:ind w:firstLine="643"/>
        <w:rPr>
          <w:rStyle w:val="12"/>
          <w:rFonts w:eastAsia="仿宋"/>
          <w:color w:val="auto"/>
          <w:kern w:val="0"/>
          <w:sz w:val="30"/>
          <w:szCs w:val="30"/>
          <w:highlight w:val="none"/>
        </w:rPr>
      </w:pPr>
      <w:r>
        <w:rPr>
          <w:rStyle w:val="12"/>
          <w:rFonts w:eastAsia="仿宋"/>
          <w:color w:val="auto"/>
          <w:kern w:val="0"/>
          <w:sz w:val="32"/>
          <w:szCs w:val="32"/>
          <w:highlight w:val="none"/>
        </w:rPr>
        <w:t>检验室使用面积不少于30 m</w:t>
      </w:r>
      <w:r>
        <w:rPr>
          <w:rStyle w:val="12"/>
          <w:rFonts w:eastAsia="仿宋"/>
          <w:color w:val="auto"/>
          <w:kern w:val="0"/>
          <w:sz w:val="32"/>
          <w:szCs w:val="32"/>
          <w:highlight w:val="none"/>
          <w:vertAlign w:val="superscript"/>
        </w:rPr>
        <w:t>2</w:t>
      </w:r>
      <w:r>
        <w:rPr>
          <w:rStyle w:val="12"/>
          <w:rFonts w:eastAsia="仿宋"/>
          <w:color w:val="auto"/>
          <w:kern w:val="0"/>
          <w:sz w:val="32"/>
          <w:szCs w:val="32"/>
          <w:highlight w:val="none"/>
        </w:rPr>
        <w:t>，内部水、电、暖及通风设备齐全配套，主要仪器设备定位</w:t>
      </w:r>
      <w:r>
        <w:rPr>
          <w:rStyle w:val="12"/>
          <w:rFonts w:eastAsia="仿宋"/>
          <w:color w:val="auto"/>
          <w:kern w:val="0"/>
          <w:sz w:val="30"/>
          <w:szCs w:val="30"/>
          <w:highlight w:val="none"/>
        </w:rPr>
        <w:t>。</w:t>
      </w:r>
    </w:p>
    <w:p>
      <w:pPr>
        <w:shd w:val="clear" w:color="auto" w:fill="FFFFFF"/>
        <w:spacing w:line="560" w:lineRule="exact"/>
        <w:ind w:firstLine="600" w:firstLineChars="200"/>
        <w:rPr>
          <w:rStyle w:val="10"/>
          <w:rFonts w:eastAsia="黑体"/>
          <w:b w:val="0"/>
          <w:bCs/>
          <w:color w:val="auto"/>
          <w:kern w:val="0"/>
          <w:sz w:val="30"/>
          <w:szCs w:val="30"/>
          <w:highlight w:val="none"/>
        </w:rPr>
      </w:pPr>
      <w:r>
        <w:rPr>
          <w:rStyle w:val="10"/>
          <w:rFonts w:eastAsia="黑体"/>
          <w:b w:val="0"/>
          <w:bCs/>
          <w:color w:val="auto"/>
          <w:kern w:val="0"/>
          <w:sz w:val="30"/>
          <w:szCs w:val="30"/>
          <w:highlight w:val="none"/>
        </w:rPr>
        <w:t>三、</w:t>
      </w:r>
      <w:r>
        <w:rPr>
          <w:rStyle w:val="10"/>
          <w:rFonts w:eastAsia="黑体"/>
          <w:b w:val="0"/>
          <w:bCs/>
          <w:color w:val="auto"/>
          <w:kern w:val="0"/>
          <w:sz w:val="32"/>
          <w:szCs w:val="32"/>
          <w:highlight w:val="none"/>
        </w:rPr>
        <w:t>检验室管理制度健全</w:t>
      </w:r>
    </w:p>
    <w:p>
      <w:pPr>
        <w:shd w:val="clear" w:color="auto" w:fill="FFFFFF"/>
        <w:spacing w:line="560" w:lineRule="exact"/>
        <w:ind w:firstLine="600"/>
        <w:rPr>
          <w:rStyle w:val="12"/>
          <w:rFonts w:eastAsia="仿宋"/>
          <w:color w:val="auto"/>
          <w:kern w:val="0"/>
          <w:sz w:val="32"/>
          <w:szCs w:val="32"/>
          <w:highlight w:val="none"/>
        </w:rPr>
      </w:pPr>
      <w:r>
        <w:rPr>
          <w:rStyle w:val="12"/>
          <w:rFonts w:eastAsia="仿宋"/>
          <w:color w:val="auto"/>
          <w:kern w:val="0"/>
          <w:sz w:val="32"/>
          <w:szCs w:val="32"/>
          <w:highlight w:val="none"/>
        </w:rPr>
        <w:t>制定</w:t>
      </w:r>
      <w:r>
        <w:rPr>
          <w:rStyle w:val="12"/>
          <w:rFonts w:hint="eastAsia" w:eastAsia="仿宋"/>
          <w:color w:val="auto"/>
          <w:kern w:val="0"/>
          <w:sz w:val="32"/>
          <w:szCs w:val="32"/>
          <w:highlight w:val="none"/>
          <w:lang w:val="en-US" w:eastAsia="zh-CN"/>
        </w:rPr>
        <w:t>并</w:t>
      </w:r>
      <w:r>
        <w:rPr>
          <w:rStyle w:val="12"/>
          <w:rFonts w:eastAsia="仿宋"/>
          <w:color w:val="auto"/>
          <w:kern w:val="0"/>
          <w:sz w:val="32"/>
          <w:szCs w:val="32"/>
          <w:highlight w:val="none"/>
        </w:rPr>
        <w:t>上墙植物检疫检验</w:t>
      </w:r>
      <w:r>
        <w:rPr>
          <w:rStyle w:val="10"/>
          <w:rFonts w:eastAsia="仿宋"/>
          <w:b w:val="0"/>
          <w:bCs/>
          <w:color w:val="auto"/>
          <w:kern w:val="0"/>
          <w:sz w:val="32"/>
          <w:szCs w:val="32"/>
          <w:highlight w:val="none"/>
        </w:rPr>
        <w:t>室</w:t>
      </w:r>
      <w:r>
        <w:rPr>
          <w:rStyle w:val="12"/>
          <w:rFonts w:eastAsia="仿宋"/>
          <w:color w:val="auto"/>
          <w:kern w:val="0"/>
          <w:sz w:val="32"/>
          <w:szCs w:val="32"/>
          <w:highlight w:val="none"/>
        </w:rPr>
        <w:t>各项管理制度和规章等，仪器设备、药品及检验检疫工具等均造册建档，并由专人管理。</w:t>
      </w:r>
    </w:p>
    <w:p>
      <w:pPr>
        <w:shd w:val="clear" w:color="auto" w:fill="FFFFFF"/>
        <w:spacing w:line="560" w:lineRule="exact"/>
        <w:jc w:val="center"/>
        <w:rPr>
          <w:rStyle w:val="10"/>
          <w:rFonts w:eastAsia="黑体"/>
          <w:bCs/>
          <w:color w:val="auto"/>
          <w:kern w:val="0"/>
          <w:sz w:val="32"/>
          <w:szCs w:val="32"/>
          <w:highlight w:val="none"/>
        </w:rPr>
      </w:pPr>
      <w:r>
        <w:rPr>
          <w:rStyle w:val="10"/>
          <w:rFonts w:eastAsia="黑体"/>
          <w:b w:val="0"/>
          <w:bCs/>
          <w:color w:val="auto"/>
          <w:kern w:val="0"/>
          <w:sz w:val="32"/>
          <w:szCs w:val="32"/>
          <w:highlight w:val="none"/>
        </w:rPr>
        <w:t>植物检疫检验室仪器设备名录</w:t>
      </w:r>
    </w:p>
    <w:tbl>
      <w:tblPr>
        <w:tblStyle w:val="8"/>
        <w:tblW w:w="8320" w:type="dxa"/>
        <w:tblInd w:w="107" w:type="dxa"/>
        <w:tblBorders>
          <w:top w:val="none" w:color="auto" w:sz="0" w:space="0"/>
          <w:left w:val="none" w:color="auto" w:sz="0" w:space="0"/>
          <w:bottom w:val="none" w:color="auto" w:sz="0" w:space="0"/>
          <w:right w:val="none" w:color="auto" w:sz="0" w:space="0"/>
          <w:insideH w:val="outset" w:color="000000" w:sz="6" w:space="0"/>
          <w:insideV w:val="outset" w:color="000000" w:sz="6" w:space="0"/>
        </w:tblBorders>
        <w:tblLayout w:type="autofit"/>
        <w:tblCellMar>
          <w:top w:w="0" w:type="dxa"/>
          <w:left w:w="0" w:type="dxa"/>
          <w:bottom w:w="0" w:type="dxa"/>
          <w:right w:w="0" w:type="dxa"/>
        </w:tblCellMar>
      </w:tblPr>
      <w:tblGrid>
        <w:gridCol w:w="2260"/>
        <w:gridCol w:w="1362"/>
        <w:gridCol w:w="3065"/>
        <w:gridCol w:w="1633"/>
      </w:tblGrid>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380" w:hRule="atLeast"/>
        </w:trPr>
        <w:tc>
          <w:tcPr>
            <w:tcW w:w="2260" w:type="dxa"/>
            <w:tcBorders>
              <w:top w:val="single" w:color="000000" w:sz="8" w:space="0"/>
              <w:left w:val="single" w:color="000000" w:sz="8" w:space="0"/>
              <w:bottom w:val="single" w:color="000000" w:sz="8" w:space="0"/>
              <w:right w:val="single" w:color="000000" w:sz="8" w:space="0"/>
            </w:tcBorders>
            <w:vAlign w:val="center"/>
          </w:tcPr>
          <w:p>
            <w:pPr>
              <w:spacing w:line="400" w:lineRule="exact"/>
              <w:ind w:firstLine="321"/>
              <w:jc w:val="center"/>
              <w:rPr>
                <w:rStyle w:val="12"/>
                <w:b/>
                <w:color w:val="auto"/>
                <w:sz w:val="24"/>
                <w:highlight w:val="none"/>
              </w:rPr>
            </w:pPr>
            <w:r>
              <w:rPr>
                <w:rStyle w:val="10"/>
                <w:color w:val="auto"/>
                <w:kern w:val="0"/>
                <w:sz w:val="24"/>
                <w:highlight w:val="none"/>
              </w:rPr>
              <w:t>仪器设备名称</w:t>
            </w:r>
          </w:p>
        </w:tc>
        <w:tc>
          <w:tcPr>
            <w:tcW w:w="1362" w:type="dxa"/>
            <w:tcBorders>
              <w:top w:val="single" w:color="000000" w:sz="8" w:space="0"/>
              <w:left w:val="nil"/>
              <w:bottom w:val="single" w:color="000000" w:sz="8" w:space="0"/>
              <w:right w:val="single" w:color="000000" w:sz="8" w:space="0"/>
            </w:tcBorders>
            <w:vAlign w:val="center"/>
          </w:tcPr>
          <w:p>
            <w:pPr>
              <w:spacing w:line="400" w:lineRule="exact"/>
              <w:jc w:val="center"/>
              <w:rPr>
                <w:rStyle w:val="12"/>
                <w:b/>
                <w:color w:val="auto"/>
                <w:sz w:val="24"/>
                <w:highlight w:val="none"/>
              </w:rPr>
            </w:pPr>
            <w:r>
              <w:rPr>
                <w:rStyle w:val="10"/>
                <w:color w:val="auto"/>
                <w:kern w:val="0"/>
                <w:sz w:val="24"/>
                <w:highlight w:val="none"/>
              </w:rPr>
              <w:t>数量</w:t>
            </w:r>
          </w:p>
        </w:tc>
        <w:tc>
          <w:tcPr>
            <w:tcW w:w="3065" w:type="dxa"/>
            <w:tcBorders>
              <w:top w:val="single" w:color="000000" w:sz="8" w:space="0"/>
              <w:left w:val="nil"/>
              <w:bottom w:val="single" w:color="000000" w:sz="8" w:space="0"/>
              <w:right w:val="single" w:color="000000" w:sz="8" w:space="0"/>
            </w:tcBorders>
            <w:vAlign w:val="center"/>
          </w:tcPr>
          <w:p>
            <w:pPr>
              <w:spacing w:line="400" w:lineRule="exact"/>
              <w:jc w:val="center"/>
              <w:rPr>
                <w:rStyle w:val="10"/>
                <w:color w:val="auto"/>
                <w:kern w:val="0"/>
                <w:sz w:val="24"/>
                <w:highlight w:val="none"/>
              </w:rPr>
            </w:pPr>
            <w:r>
              <w:rPr>
                <w:rStyle w:val="10"/>
                <w:color w:val="auto"/>
                <w:kern w:val="0"/>
                <w:sz w:val="24"/>
                <w:highlight w:val="none"/>
              </w:rPr>
              <w:t>仪器设备名称</w:t>
            </w:r>
          </w:p>
        </w:tc>
        <w:tc>
          <w:tcPr>
            <w:tcW w:w="1633" w:type="dxa"/>
            <w:tcBorders>
              <w:top w:val="single" w:color="000000" w:sz="8" w:space="0"/>
              <w:left w:val="nil"/>
              <w:bottom w:val="single" w:color="000000" w:sz="8" w:space="0"/>
              <w:right w:val="single" w:color="000000" w:sz="8" w:space="0"/>
            </w:tcBorders>
            <w:vAlign w:val="center"/>
          </w:tcPr>
          <w:p>
            <w:pPr>
              <w:spacing w:line="400" w:lineRule="exact"/>
              <w:jc w:val="center"/>
              <w:rPr>
                <w:rStyle w:val="10"/>
                <w:color w:val="auto"/>
                <w:kern w:val="0"/>
                <w:sz w:val="24"/>
                <w:highlight w:val="none"/>
              </w:rPr>
            </w:pPr>
            <w:r>
              <w:rPr>
                <w:rStyle w:val="10"/>
                <w:color w:val="auto"/>
                <w:kern w:val="0"/>
                <w:sz w:val="24"/>
                <w:highlight w:val="none"/>
              </w:rPr>
              <w:t>数量</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400" w:hRule="atLeast"/>
        </w:trPr>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生物显微镜</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水浴锅</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350" w:hRule="atLeast"/>
        </w:trPr>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双目解剖镜</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电炉</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2</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离心机</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1/100电子天平</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光照培养箱</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微波炉</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rPr>
          <w:trHeight w:val="383" w:hRule="atLeast"/>
        </w:trPr>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超净工作台</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植物样品粉碎机</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电热干燥器</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酸度计</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电热恒温箱</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恒温水（气）浴振荡器</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电冰箱</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紫外可见分光光度计</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1</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高压灭菌锅</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实验操作台</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2</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照相机</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药品柜</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2</w:t>
            </w:r>
          </w:p>
        </w:tc>
      </w:tr>
      <w:tr>
        <w:tblPrEx>
          <w:tblBorders>
            <w:top w:val="none" w:color="auto" w:sz="0" w:space="0"/>
            <w:left w:val="none" w:color="auto" w:sz="0" w:space="0"/>
            <w:bottom w:val="none" w:color="auto" w:sz="0" w:space="0"/>
            <w:right w:val="none" w:color="auto" w:sz="0" w:space="0"/>
            <w:insideH w:val="outset" w:color="000000" w:sz="6" w:space="0"/>
            <w:insideV w:val="outset" w:color="000000" w:sz="6" w:space="0"/>
          </w:tblBorders>
          <w:tblCellMar>
            <w:top w:w="0" w:type="dxa"/>
            <w:left w:w="0" w:type="dxa"/>
            <w:bottom w:w="0" w:type="dxa"/>
            <w:right w:w="0" w:type="dxa"/>
          </w:tblCellMar>
        </w:tblPrEx>
        <w:tc>
          <w:tcPr>
            <w:tcW w:w="2260" w:type="dxa"/>
            <w:tcBorders>
              <w:top w:val="nil"/>
              <w:left w:val="single" w:color="000000" w:sz="8" w:space="0"/>
              <w:bottom w:val="single" w:color="000000" w:sz="8" w:space="0"/>
              <w:right w:val="single" w:color="000000" w:sz="8" w:space="0"/>
            </w:tcBorders>
            <w:vAlign w:val="center"/>
          </w:tcPr>
          <w:p>
            <w:pPr>
              <w:spacing w:line="400" w:lineRule="exact"/>
              <w:jc w:val="center"/>
            </w:pPr>
            <w:r>
              <w:t>分析天平</w:t>
            </w:r>
          </w:p>
        </w:tc>
        <w:tc>
          <w:tcPr>
            <w:tcW w:w="1362"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1</w:t>
            </w:r>
          </w:p>
        </w:tc>
        <w:tc>
          <w:tcPr>
            <w:tcW w:w="3065" w:type="dxa"/>
            <w:tcBorders>
              <w:top w:val="nil"/>
              <w:left w:val="nil"/>
              <w:bottom w:val="single" w:color="000000" w:sz="8" w:space="0"/>
              <w:right w:val="single" w:color="000000" w:sz="8" w:space="0"/>
            </w:tcBorders>
            <w:vAlign w:val="center"/>
          </w:tcPr>
          <w:p>
            <w:pPr>
              <w:spacing w:line="400" w:lineRule="exact"/>
              <w:jc w:val="center"/>
              <w:rPr>
                <w:rStyle w:val="12"/>
                <w:color w:val="auto"/>
                <w:sz w:val="24"/>
                <w:highlight w:val="none"/>
              </w:rPr>
            </w:pPr>
            <w:r>
              <w:rPr>
                <w:rStyle w:val="12"/>
                <w:color w:val="auto"/>
                <w:kern w:val="0"/>
                <w:sz w:val="24"/>
                <w:highlight w:val="none"/>
              </w:rPr>
              <w:t>标本柜</w:t>
            </w:r>
          </w:p>
        </w:tc>
        <w:tc>
          <w:tcPr>
            <w:tcW w:w="1633" w:type="dxa"/>
            <w:tcBorders>
              <w:top w:val="nil"/>
              <w:left w:val="nil"/>
              <w:bottom w:val="single" w:color="000000" w:sz="8" w:space="0"/>
              <w:right w:val="single" w:color="000000" w:sz="8" w:space="0"/>
            </w:tcBorders>
            <w:vAlign w:val="center"/>
          </w:tcPr>
          <w:p>
            <w:pPr>
              <w:spacing w:line="400" w:lineRule="exact"/>
              <w:jc w:val="center"/>
              <w:rPr>
                <w:rStyle w:val="12"/>
                <w:color w:val="auto"/>
                <w:kern w:val="0"/>
                <w:sz w:val="24"/>
                <w:highlight w:val="none"/>
              </w:rPr>
            </w:pPr>
            <w:r>
              <w:rPr>
                <w:rStyle w:val="12"/>
                <w:color w:val="auto"/>
                <w:kern w:val="0"/>
                <w:sz w:val="24"/>
                <w:highlight w:val="none"/>
              </w:rPr>
              <w:t>2</w:t>
            </w:r>
          </w:p>
        </w:tc>
      </w:tr>
    </w:tbl>
    <w:p>
      <w:pPr>
        <w:tabs>
          <w:tab w:val="left" w:pos="1281"/>
        </w:tabs>
        <w:bidi w:val="0"/>
        <w:jc w:val="left"/>
        <w:rPr>
          <w:rFonts w:hint="default"/>
          <w:lang w:val="en-US" w:eastAsia="zh-CN"/>
        </w:rPr>
      </w:pPr>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Style w:val="1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5"/>
                            <w:rPr>
                              <w:rStyle w:val="12"/>
                            </w:rPr>
                          </w:pPr>
                        </w:p>
                        <w:p>
                          <w:pPr>
                            <w:rPr>
                              <w:rStyle w:val="12"/>
                            </w:rPr>
                          </w:pPr>
                        </w:p>
                      </w:txbxContent>
                    </wps:txbx>
                    <wps:bodyPr rot="0" vert="horz" wrap="square" lIns="0" tIns="0" rIns="0" bIns="0" anchor="t" anchorCtr="0" upright="1">
                      <a:noAutofit/>
                    </wps:bodyPr>
                  </wps:wsp>
                </a:graphicData>
              </a:graphic>
            </wp:anchor>
          </w:drawing>
        </mc:Choice>
        <mc:Fallback>
          <w:pict>
            <v:shape id="Text Box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mk9kDSAAAABQEAAA8AAAAAAAAAAQAgAAAAIgAAAGRycy9kb3ducmV2LnhtbFBLAQIU&#10;ABQAAAAIAIdO4kCKJvUG+QEAAAgEAAAOAAAAAAAAAAEAIAAAACEBAABkcnMvZTJvRG9jLnhtbFBL&#10;BQYAAAAABgAGAFkBAACMBQAAAAA=&#10;">
              <v:fill on="f" focussize="0,0"/>
              <v:stroke on="f"/>
              <v:imagedata o:title=""/>
              <o:lock v:ext="edit" aspectratio="f"/>
              <v:textbox inset="0mm,0mm,0mm,0mm">
                <w:txbxContent>
                  <w:p>
                    <w:pPr>
                      <w:pStyle w:val="5"/>
                      <w:rPr>
                        <w:rStyle w:val="12"/>
                      </w:rPr>
                    </w:pPr>
                  </w:p>
                  <w:p>
                    <w:pPr>
                      <w:rPr>
                        <w:rStyle w:val="12"/>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07"/>
    <w:rsid w:val="000A002F"/>
    <w:rsid w:val="000D50B1"/>
    <w:rsid w:val="00137BBD"/>
    <w:rsid w:val="001451A8"/>
    <w:rsid w:val="00176393"/>
    <w:rsid w:val="00306D69"/>
    <w:rsid w:val="003532FE"/>
    <w:rsid w:val="003544EE"/>
    <w:rsid w:val="003C6E3C"/>
    <w:rsid w:val="0043195D"/>
    <w:rsid w:val="004603DB"/>
    <w:rsid w:val="004628C2"/>
    <w:rsid w:val="004A5403"/>
    <w:rsid w:val="004D1BB4"/>
    <w:rsid w:val="00515913"/>
    <w:rsid w:val="005B7740"/>
    <w:rsid w:val="006249F9"/>
    <w:rsid w:val="00635B67"/>
    <w:rsid w:val="00643BE3"/>
    <w:rsid w:val="007A5EAD"/>
    <w:rsid w:val="00893D6F"/>
    <w:rsid w:val="008F4ACF"/>
    <w:rsid w:val="009753BB"/>
    <w:rsid w:val="00987F92"/>
    <w:rsid w:val="009C4690"/>
    <w:rsid w:val="009E2E8E"/>
    <w:rsid w:val="00A74AC0"/>
    <w:rsid w:val="00A917D2"/>
    <w:rsid w:val="00AC7E86"/>
    <w:rsid w:val="00AE5E8A"/>
    <w:rsid w:val="00B40D39"/>
    <w:rsid w:val="00B701B7"/>
    <w:rsid w:val="00C420C4"/>
    <w:rsid w:val="00D27284"/>
    <w:rsid w:val="00EF1D07"/>
    <w:rsid w:val="00FB18DB"/>
    <w:rsid w:val="016C0FA1"/>
    <w:rsid w:val="020D657A"/>
    <w:rsid w:val="02497534"/>
    <w:rsid w:val="026478F5"/>
    <w:rsid w:val="033611EA"/>
    <w:rsid w:val="03A94373"/>
    <w:rsid w:val="04A10F62"/>
    <w:rsid w:val="04ED41A7"/>
    <w:rsid w:val="059C797B"/>
    <w:rsid w:val="07E86EA8"/>
    <w:rsid w:val="089112ED"/>
    <w:rsid w:val="08EA43A8"/>
    <w:rsid w:val="090F7176"/>
    <w:rsid w:val="091361A6"/>
    <w:rsid w:val="0AD01E41"/>
    <w:rsid w:val="0B7C0033"/>
    <w:rsid w:val="0C5965C6"/>
    <w:rsid w:val="0E59655F"/>
    <w:rsid w:val="0E7A39FA"/>
    <w:rsid w:val="0EA37FCC"/>
    <w:rsid w:val="0EF16F8A"/>
    <w:rsid w:val="0F781D9A"/>
    <w:rsid w:val="104B091B"/>
    <w:rsid w:val="105B0B5E"/>
    <w:rsid w:val="112A0531"/>
    <w:rsid w:val="11523FC4"/>
    <w:rsid w:val="12561BF0"/>
    <w:rsid w:val="13BA5B9C"/>
    <w:rsid w:val="14305E5E"/>
    <w:rsid w:val="14D56A06"/>
    <w:rsid w:val="150B49B3"/>
    <w:rsid w:val="1522652E"/>
    <w:rsid w:val="16B40FC8"/>
    <w:rsid w:val="170A0BE8"/>
    <w:rsid w:val="172B6DB1"/>
    <w:rsid w:val="17AE3C6A"/>
    <w:rsid w:val="17D36FC3"/>
    <w:rsid w:val="18115FA7"/>
    <w:rsid w:val="18644B16"/>
    <w:rsid w:val="19A52E4A"/>
    <w:rsid w:val="19AF5A77"/>
    <w:rsid w:val="19C01A32"/>
    <w:rsid w:val="1ADE29F2"/>
    <w:rsid w:val="1BB42AAF"/>
    <w:rsid w:val="1D81772B"/>
    <w:rsid w:val="1DD27F86"/>
    <w:rsid w:val="1EA17B96"/>
    <w:rsid w:val="1EB12883"/>
    <w:rsid w:val="201535B1"/>
    <w:rsid w:val="20222654"/>
    <w:rsid w:val="20E31D5D"/>
    <w:rsid w:val="211E0F0D"/>
    <w:rsid w:val="2218770D"/>
    <w:rsid w:val="223E208E"/>
    <w:rsid w:val="22F4274D"/>
    <w:rsid w:val="24B959FC"/>
    <w:rsid w:val="25D9546E"/>
    <w:rsid w:val="26A83F7A"/>
    <w:rsid w:val="275E288B"/>
    <w:rsid w:val="27B631D8"/>
    <w:rsid w:val="28706204"/>
    <w:rsid w:val="28C17575"/>
    <w:rsid w:val="28FB4835"/>
    <w:rsid w:val="2906474F"/>
    <w:rsid w:val="2909659B"/>
    <w:rsid w:val="2A5932E7"/>
    <w:rsid w:val="2B8E1C69"/>
    <w:rsid w:val="2B9D1BD3"/>
    <w:rsid w:val="2C0B2FE1"/>
    <w:rsid w:val="2E314855"/>
    <w:rsid w:val="2F454A5C"/>
    <w:rsid w:val="308800EC"/>
    <w:rsid w:val="308A6676"/>
    <w:rsid w:val="309D6347"/>
    <w:rsid w:val="311D7312"/>
    <w:rsid w:val="31833619"/>
    <w:rsid w:val="31D420C7"/>
    <w:rsid w:val="32935ADE"/>
    <w:rsid w:val="33030984"/>
    <w:rsid w:val="332E13F6"/>
    <w:rsid w:val="333E5727"/>
    <w:rsid w:val="336316CC"/>
    <w:rsid w:val="33770F5C"/>
    <w:rsid w:val="33EA31F7"/>
    <w:rsid w:val="33FB393B"/>
    <w:rsid w:val="34D15916"/>
    <w:rsid w:val="36723C5D"/>
    <w:rsid w:val="36E745A2"/>
    <w:rsid w:val="37187227"/>
    <w:rsid w:val="37294C63"/>
    <w:rsid w:val="37985945"/>
    <w:rsid w:val="37B4550B"/>
    <w:rsid w:val="381C0324"/>
    <w:rsid w:val="38431D54"/>
    <w:rsid w:val="38883C0B"/>
    <w:rsid w:val="38F911DD"/>
    <w:rsid w:val="390F6603"/>
    <w:rsid w:val="3B800BCA"/>
    <w:rsid w:val="3B8763FC"/>
    <w:rsid w:val="3BE70C49"/>
    <w:rsid w:val="3C862210"/>
    <w:rsid w:val="3D037D04"/>
    <w:rsid w:val="40784565"/>
    <w:rsid w:val="41901787"/>
    <w:rsid w:val="425863FC"/>
    <w:rsid w:val="42B21FB1"/>
    <w:rsid w:val="430F7403"/>
    <w:rsid w:val="4373306E"/>
    <w:rsid w:val="438D0328"/>
    <w:rsid w:val="43A85162"/>
    <w:rsid w:val="440E76BA"/>
    <w:rsid w:val="45097E82"/>
    <w:rsid w:val="45BD3146"/>
    <w:rsid w:val="46115240"/>
    <w:rsid w:val="46767799"/>
    <w:rsid w:val="46CD08F7"/>
    <w:rsid w:val="46E92F23"/>
    <w:rsid w:val="483671E0"/>
    <w:rsid w:val="48E7672C"/>
    <w:rsid w:val="4B29302C"/>
    <w:rsid w:val="4D727CB8"/>
    <w:rsid w:val="4F42646A"/>
    <w:rsid w:val="4F960564"/>
    <w:rsid w:val="4FF05EC6"/>
    <w:rsid w:val="50DE5609"/>
    <w:rsid w:val="51623B2B"/>
    <w:rsid w:val="517669F8"/>
    <w:rsid w:val="520C3AF8"/>
    <w:rsid w:val="53A5521A"/>
    <w:rsid w:val="557E54E7"/>
    <w:rsid w:val="55D63DB0"/>
    <w:rsid w:val="569E667C"/>
    <w:rsid w:val="577E64AD"/>
    <w:rsid w:val="5B35647A"/>
    <w:rsid w:val="5B9613F8"/>
    <w:rsid w:val="5C0F15B3"/>
    <w:rsid w:val="5C2F5FC8"/>
    <w:rsid w:val="5C7D6D34"/>
    <w:rsid w:val="5E2A3C99"/>
    <w:rsid w:val="5EB6334A"/>
    <w:rsid w:val="618B5A4F"/>
    <w:rsid w:val="61BA27D8"/>
    <w:rsid w:val="630261E5"/>
    <w:rsid w:val="63212B0F"/>
    <w:rsid w:val="63A80310"/>
    <w:rsid w:val="64550596"/>
    <w:rsid w:val="6511270F"/>
    <w:rsid w:val="667B2536"/>
    <w:rsid w:val="667E3DD4"/>
    <w:rsid w:val="66D147D6"/>
    <w:rsid w:val="6739419F"/>
    <w:rsid w:val="67876CB8"/>
    <w:rsid w:val="67E86387"/>
    <w:rsid w:val="6B70731D"/>
    <w:rsid w:val="6BAC3191"/>
    <w:rsid w:val="6BC56001"/>
    <w:rsid w:val="6C375151"/>
    <w:rsid w:val="6C7A2B5E"/>
    <w:rsid w:val="6CC42C7A"/>
    <w:rsid w:val="6DBD1686"/>
    <w:rsid w:val="6DE36C13"/>
    <w:rsid w:val="6E3557E7"/>
    <w:rsid w:val="6EAB7730"/>
    <w:rsid w:val="6FD549C0"/>
    <w:rsid w:val="708E10B8"/>
    <w:rsid w:val="70983CE4"/>
    <w:rsid w:val="710C022E"/>
    <w:rsid w:val="712B6906"/>
    <w:rsid w:val="71AF12E6"/>
    <w:rsid w:val="71B95823"/>
    <w:rsid w:val="735C549D"/>
    <w:rsid w:val="73AB2578"/>
    <w:rsid w:val="73B94881"/>
    <w:rsid w:val="746B2E9C"/>
    <w:rsid w:val="76BF646F"/>
    <w:rsid w:val="771F0CBB"/>
    <w:rsid w:val="772067E2"/>
    <w:rsid w:val="77B22A05"/>
    <w:rsid w:val="788A03B6"/>
    <w:rsid w:val="78A8569E"/>
    <w:rsid w:val="79AD55BF"/>
    <w:rsid w:val="7AAC0AB8"/>
    <w:rsid w:val="7B1E74DC"/>
    <w:rsid w:val="7D2A660C"/>
    <w:rsid w:val="7DBD63FF"/>
    <w:rsid w:val="7E646824"/>
    <w:rsid w:val="7FD05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next w:val="1"/>
    <w:qFormat/>
    <w:uiPriority w:val="0"/>
    <w:pPr>
      <w:ind w:left="240"/>
    </w:pPr>
    <w:rPr>
      <w:sz w:val="28"/>
    </w:rPr>
  </w:style>
  <w:style w:type="paragraph" w:styleId="3">
    <w:name w:val="Date"/>
    <w:basedOn w:val="1"/>
    <w:next w:val="1"/>
    <w:link w:val="23"/>
    <w:qFormat/>
    <w:uiPriority w:val="0"/>
    <w:pPr>
      <w:ind w:left="100" w:leftChars="2500"/>
    </w:pPr>
  </w:style>
  <w:style w:type="paragraph" w:styleId="4">
    <w:name w:val="Balloon Text"/>
    <w:basedOn w:val="1"/>
    <w:link w:val="24"/>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rPr>
  </w:style>
  <w:style w:type="character" w:styleId="11">
    <w:name w:val="Hyperlink"/>
    <w:qFormat/>
    <w:uiPriority w:val="0"/>
    <w:rPr>
      <w:color w:val="0000FF"/>
      <w:u w:val="single"/>
    </w:rPr>
  </w:style>
  <w:style w:type="character" w:customStyle="1" w:styleId="12">
    <w:name w:val="NormalCharacter"/>
    <w:semiHidden/>
    <w:qFormat/>
    <w:uiPriority w:val="0"/>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AnnotationText"/>
    <w:basedOn w:val="1"/>
    <w:link w:val="21"/>
    <w:qFormat/>
    <w:uiPriority w:val="0"/>
    <w:pPr>
      <w:jc w:val="left"/>
    </w:pPr>
  </w:style>
  <w:style w:type="paragraph" w:customStyle="1" w:styleId="15">
    <w:name w:val="BodyText"/>
    <w:basedOn w:val="1"/>
    <w:qFormat/>
    <w:uiPriority w:val="0"/>
    <w:pPr>
      <w:spacing w:after="120"/>
    </w:pPr>
  </w:style>
  <w:style w:type="paragraph" w:customStyle="1" w:styleId="16">
    <w:name w:val="HtmlNormal"/>
    <w:basedOn w:val="1"/>
    <w:qFormat/>
    <w:uiPriority w:val="0"/>
    <w:pPr>
      <w:spacing w:before="100" w:beforeAutospacing="1" w:after="100" w:afterAutospacing="1"/>
      <w:jc w:val="left"/>
    </w:pPr>
    <w:rPr>
      <w:kern w:val="0"/>
      <w:sz w:val="24"/>
    </w:rPr>
  </w:style>
  <w:style w:type="paragraph" w:customStyle="1" w:styleId="17">
    <w:name w:val="Acetate"/>
    <w:basedOn w:val="1"/>
    <w:link w:val="18"/>
    <w:qFormat/>
    <w:uiPriority w:val="0"/>
    <w:rPr>
      <w:sz w:val="18"/>
      <w:szCs w:val="18"/>
    </w:rPr>
  </w:style>
  <w:style w:type="character" w:customStyle="1" w:styleId="18">
    <w:name w:val="UserStyle_2"/>
    <w:link w:val="17"/>
    <w:qFormat/>
    <w:uiPriority w:val="0"/>
    <w:rPr>
      <w:kern w:val="2"/>
      <w:sz w:val="18"/>
      <w:szCs w:val="18"/>
    </w:rPr>
  </w:style>
  <w:style w:type="character" w:customStyle="1" w:styleId="19">
    <w:name w:val="AnnotationReference"/>
    <w:qFormat/>
    <w:uiPriority w:val="0"/>
    <w:rPr>
      <w:sz w:val="21"/>
      <w:szCs w:val="21"/>
    </w:rPr>
  </w:style>
  <w:style w:type="paragraph" w:customStyle="1" w:styleId="20">
    <w:name w:val="AnnotationSubject"/>
    <w:basedOn w:val="14"/>
    <w:next w:val="14"/>
    <w:link w:val="22"/>
    <w:qFormat/>
    <w:uiPriority w:val="0"/>
  </w:style>
  <w:style w:type="character" w:customStyle="1" w:styleId="21">
    <w:name w:val="UserStyle_1"/>
    <w:link w:val="14"/>
    <w:qFormat/>
    <w:uiPriority w:val="0"/>
    <w:rPr>
      <w:kern w:val="2"/>
      <w:sz w:val="21"/>
      <w:szCs w:val="24"/>
    </w:rPr>
  </w:style>
  <w:style w:type="character" w:customStyle="1" w:styleId="22">
    <w:name w:val="UserStyle_3"/>
    <w:link w:val="20"/>
    <w:qFormat/>
    <w:uiPriority w:val="0"/>
    <w:rPr>
      <w:rFonts w:cs="Arial"/>
      <w:b/>
      <w:bCs/>
      <w:kern w:val="2"/>
      <w:sz w:val="21"/>
      <w:szCs w:val="24"/>
    </w:rPr>
  </w:style>
  <w:style w:type="character" w:customStyle="1" w:styleId="23">
    <w:name w:val="日期 字符"/>
    <w:link w:val="3"/>
    <w:qFormat/>
    <w:uiPriority w:val="0"/>
    <w:rPr>
      <w:kern w:val="2"/>
      <w:sz w:val="21"/>
      <w:szCs w:val="24"/>
    </w:rPr>
  </w:style>
  <w:style w:type="character" w:customStyle="1" w:styleId="24">
    <w:name w:val="批注框文本 字符"/>
    <w:basedOn w:val="9"/>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1191</Words>
  <Characters>6793</Characters>
  <Lines>56</Lines>
  <Paragraphs>15</Paragraphs>
  <TotalTime>5</TotalTime>
  <ScaleCrop>false</ScaleCrop>
  <LinksUpToDate>false</LinksUpToDate>
  <CharactersWithSpaces>7969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2021-12-17T10:05:00Z</dcterms:created>
  <dc:creator>GGB6</dc:creator>
  <cp:lastModifiedBy>Administrator</cp:lastModifiedBy>
  <cp:lastPrinted>2022-01-17T11:34:00Z</cp:lastPrinted>
  <dcterms:modified xsi:type="dcterms:W3CDTF">2022-01-19T03:33:21Z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D493893A0F85442EB6F6D007EBDB98A7</vt:lpwstr>
  </property>
</Properties>
</file>