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61F07">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22BA8181">
      <w:pPr>
        <w:spacing w:line="560" w:lineRule="exact"/>
        <w:jc w:val="center"/>
        <w:rPr>
          <w:rFonts w:hint="eastAsia" w:ascii="方正小标宋简体" w:hAnsi="仿宋" w:eastAsia="方正小标宋简体" w:cs="仿宋"/>
          <w:bCs/>
          <w:kern w:val="0"/>
          <w:sz w:val="32"/>
          <w:szCs w:val="32"/>
        </w:rPr>
      </w:pPr>
      <w:r>
        <w:rPr>
          <w:rFonts w:hint="eastAsia" w:ascii="方正小标宋简体" w:hAnsi="仿宋" w:eastAsia="方正小标宋简体" w:cs="仿宋"/>
          <w:bCs/>
          <w:kern w:val="0"/>
          <w:sz w:val="32"/>
          <w:szCs w:val="32"/>
        </w:rPr>
        <w:t>《农药经营服务门店创建规范</w:t>
      </w:r>
      <w:r>
        <w:rPr>
          <w:rFonts w:hint="eastAsia" w:ascii="方正小标宋简体" w:hAnsi="仿宋" w:eastAsia="方正小标宋简体" w:cs="仿宋"/>
          <w:bCs/>
          <w:kern w:val="0"/>
          <w:sz w:val="32"/>
          <w:szCs w:val="32"/>
          <w:lang w:val="en-US" w:eastAsia="zh-CN"/>
        </w:rPr>
        <w:t>（征求意见稿）</w:t>
      </w:r>
      <w:r>
        <w:rPr>
          <w:rFonts w:hint="eastAsia" w:ascii="方正小标宋简体" w:hAnsi="仿宋" w:eastAsia="方正小标宋简体" w:cs="仿宋"/>
          <w:bCs/>
          <w:kern w:val="0"/>
          <w:sz w:val="32"/>
          <w:szCs w:val="32"/>
        </w:rPr>
        <w:t>》编制说明</w:t>
      </w:r>
    </w:p>
    <w:p w14:paraId="479F7586">
      <w:pPr>
        <w:spacing w:line="560" w:lineRule="exact"/>
        <w:jc w:val="center"/>
        <w:rPr>
          <w:rFonts w:hint="eastAsia" w:ascii="方正小标宋简体" w:hAnsi="仿宋" w:eastAsia="方正小标宋简体" w:cs="仿宋"/>
          <w:bCs/>
          <w:kern w:val="0"/>
          <w:sz w:val="28"/>
          <w:szCs w:val="28"/>
        </w:rPr>
      </w:pPr>
    </w:p>
    <w:p w14:paraId="7B407FB0">
      <w:pPr>
        <w:spacing w:line="520" w:lineRule="exact"/>
        <w:ind w:firstLine="560" w:firstLineChars="200"/>
        <w:rPr>
          <w:rFonts w:ascii="黑体" w:hAnsi="黑体" w:eastAsia="黑体" w:cs="仿宋"/>
          <w:bCs/>
          <w:kern w:val="0"/>
          <w:sz w:val="28"/>
          <w:szCs w:val="28"/>
        </w:rPr>
      </w:pPr>
      <w:r>
        <w:rPr>
          <w:rFonts w:hint="eastAsia" w:ascii="黑体" w:hAnsi="黑体" w:eastAsia="黑体" w:cs="仿宋"/>
          <w:bCs/>
          <w:kern w:val="0"/>
          <w:sz w:val="28"/>
          <w:szCs w:val="28"/>
        </w:rPr>
        <w:t>一、标准制定背景</w:t>
      </w:r>
    </w:p>
    <w:p w14:paraId="7219EE95">
      <w:pPr>
        <w:spacing w:line="520" w:lineRule="exact"/>
        <w:ind w:firstLine="560" w:firstLineChars="200"/>
        <w:rPr>
          <w:rFonts w:ascii="仿宋" w:hAnsi="仿宋" w:eastAsia="仿宋" w:cs="仿宋_GB2312"/>
          <w:bCs/>
          <w:kern w:val="0"/>
          <w:sz w:val="28"/>
          <w:szCs w:val="28"/>
        </w:rPr>
      </w:pPr>
      <w:r>
        <w:rPr>
          <w:rFonts w:hint="eastAsia" w:ascii="仿宋" w:hAnsi="仿宋" w:eastAsia="仿宋" w:cs="仿宋_GB2312"/>
          <w:bCs/>
          <w:kern w:val="0"/>
          <w:sz w:val="28"/>
          <w:szCs w:val="28"/>
        </w:rPr>
        <w:t>2</w:t>
      </w:r>
      <w:r>
        <w:rPr>
          <w:rFonts w:ascii="仿宋" w:hAnsi="仿宋" w:eastAsia="仿宋" w:cs="仿宋_GB2312"/>
          <w:bCs/>
          <w:kern w:val="0"/>
          <w:sz w:val="28"/>
          <w:szCs w:val="28"/>
        </w:rPr>
        <w:t>022</w:t>
      </w:r>
      <w:r>
        <w:rPr>
          <w:rFonts w:hint="eastAsia" w:ascii="仿宋" w:hAnsi="仿宋" w:eastAsia="仿宋" w:cs="仿宋_GB2312"/>
          <w:bCs/>
          <w:kern w:val="0"/>
          <w:sz w:val="28"/>
          <w:szCs w:val="28"/>
        </w:rPr>
        <w:t>年1月2</w:t>
      </w:r>
      <w:r>
        <w:rPr>
          <w:rFonts w:ascii="仿宋" w:hAnsi="仿宋" w:eastAsia="仿宋" w:cs="仿宋_GB2312"/>
          <w:bCs/>
          <w:kern w:val="0"/>
          <w:sz w:val="28"/>
          <w:szCs w:val="28"/>
        </w:rPr>
        <w:t>9</w:t>
      </w:r>
      <w:r>
        <w:rPr>
          <w:rFonts w:hint="eastAsia" w:ascii="仿宋" w:hAnsi="仿宋" w:eastAsia="仿宋" w:cs="仿宋_GB2312"/>
          <w:bCs/>
          <w:kern w:val="0"/>
          <w:sz w:val="28"/>
          <w:szCs w:val="28"/>
        </w:rPr>
        <w:t>日，《“十四五”全国农药产业发展规划》（农农发〔</w:t>
      </w:r>
      <w:r>
        <w:rPr>
          <w:rFonts w:ascii="仿宋" w:hAnsi="仿宋" w:eastAsia="仿宋" w:cs="仿宋_GB2312"/>
          <w:bCs/>
          <w:kern w:val="0"/>
          <w:sz w:val="28"/>
          <w:szCs w:val="28"/>
        </w:rPr>
        <w:t>2022〕3号</w:t>
      </w:r>
      <w:r>
        <w:rPr>
          <w:rFonts w:hint="eastAsia" w:ascii="仿宋" w:hAnsi="仿宋" w:eastAsia="仿宋" w:cs="仿宋_GB2312"/>
          <w:bCs/>
          <w:kern w:val="0"/>
          <w:sz w:val="28"/>
          <w:szCs w:val="28"/>
        </w:rPr>
        <w:t>）提出，“规范农药经营服务体系，优化经营网点布局，规范互联网农药经营，推进标准化门店建设，大力推行开方卖药、台账记录、追溯管理等规范化经营服务。到2</w:t>
      </w:r>
      <w:r>
        <w:rPr>
          <w:rFonts w:ascii="仿宋" w:hAnsi="仿宋" w:eastAsia="仿宋" w:cs="仿宋_GB2312"/>
          <w:bCs/>
          <w:kern w:val="0"/>
          <w:sz w:val="28"/>
          <w:szCs w:val="28"/>
        </w:rPr>
        <w:t>025</w:t>
      </w:r>
      <w:r>
        <w:rPr>
          <w:rFonts w:hint="eastAsia" w:ascii="仿宋" w:hAnsi="仿宋" w:eastAsia="仿宋" w:cs="仿宋_GB2312"/>
          <w:bCs/>
          <w:kern w:val="0"/>
          <w:sz w:val="28"/>
          <w:szCs w:val="28"/>
        </w:rPr>
        <w:t>年，力争5</w:t>
      </w:r>
      <w:r>
        <w:rPr>
          <w:rFonts w:ascii="仿宋" w:hAnsi="仿宋" w:eastAsia="仿宋" w:cs="仿宋_GB2312"/>
          <w:bCs/>
          <w:kern w:val="0"/>
          <w:sz w:val="28"/>
          <w:szCs w:val="28"/>
        </w:rPr>
        <w:t>0%</w:t>
      </w:r>
      <w:r>
        <w:rPr>
          <w:rFonts w:hint="eastAsia" w:ascii="仿宋" w:hAnsi="仿宋" w:eastAsia="仿宋" w:cs="仿宋_GB2312"/>
          <w:bCs/>
          <w:kern w:val="0"/>
          <w:sz w:val="28"/>
          <w:szCs w:val="28"/>
        </w:rPr>
        <w:t>的农药经营门店实行标准化经营服务”。</w:t>
      </w:r>
    </w:p>
    <w:p w14:paraId="7BC2E0E4">
      <w:pPr>
        <w:spacing w:line="520" w:lineRule="exact"/>
        <w:ind w:firstLine="560" w:firstLineChars="200"/>
        <w:rPr>
          <w:rFonts w:ascii="仿宋" w:hAnsi="仿宋" w:eastAsia="仿宋" w:cs="仿宋_GB2312"/>
          <w:bCs/>
          <w:kern w:val="0"/>
          <w:sz w:val="28"/>
          <w:szCs w:val="28"/>
        </w:rPr>
      </w:pPr>
      <w:r>
        <w:rPr>
          <w:rFonts w:hint="eastAsia" w:ascii="仿宋" w:hAnsi="仿宋" w:eastAsia="仿宋" w:cs="仿宋_GB2312"/>
          <w:bCs/>
          <w:kern w:val="0"/>
          <w:sz w:val="28"/>
          <w:szCs w:val="28"/>
        </w:rPr>
        <w:t>自2017年6月1日《农药管理条例》实施以来，新疆边学习边工作，顺利的完成了《农药管理条例》的学习贯彻落实工作，并在辖区内完成农药经营许可证书的审查与核发，截至目前，新疆已核发农药经营许可证书7000余个。</w:t>
      </w:r>
    </w:p>
    <w:p w14:paraId="5D1113E6">
      <w:pPr>
        <w:spacing w:line="520" w:lineRule="exact"/>
        <w:ind w:firstLine="560" w:firstLineChars="200"/>
        <w:rPr>
          <w:rFonts w:hint="eastAsia" w:ascii="仿宋" w:hAnsi="仿宋" w:eastAsia="仿宋" w:cs="仿宋_GB2312"/>
          <w:bCs/>
          <w:kern w:val="0"/>
          <w:sz w:val="28"/>
          <w:szCs w:val="28"/>
        </w:rPr>
      </w:pPr>
      <w:r>
        <w:rPr>
          <w:rFonts w:hint="eastAsia" w:ascii="仿宋" w:hAnsi="仿宋" w:eastAsia="仿宋" w:cs="仿宋_GB2312"/>
          <w:bCs/>
          <w:kern w:val="0"/>
          <w:sz w:val="28"/>
          <w:szCs w:val="28"/>
        </w:rPr>
        <w:t>经过</w:t>
      </w:r>
      <w:r>
        <w:rPr>
          <w:rFonts w:ascii="仿宋" w:hAnsi="仿宋" w:eastAsia="仿宋" w:cs="仿宋_GB2312"/>
          <w:bCs/>
          <w:kern w:val="0"/>
          <w:sz w:val="28"/>
          <w:szCs w:val="28"/>
        </w:rPr>
        <w:t>6</w:t>
      </w:r>
      <w:r>
        <w:rPr>
          <w:rFonts w:hint="eastAsia" w:ascii="仿宋" w:hAnsi="仿宋" w:eastAsia="仿宋" w:cs="仿宋_GB2312"/>
          <w:bCs/>
          <w:kern w:val="0"/>
          <w:sz w:val="28"/>
          <w:szCs w:val="28"/>
        </w:rPr>
        <w:t>年的努力，新疆农药经营门店数量已趋于稳定，通过每年的农药监督抽查、常规检查和飞行检查发现经营场所建设、进销电子台账、农药质量、设施设备、经营人员行为规范、科学用药指导服务、管理制度等存在很大问题。主要表现在农药经营门店的产品质量存在问题，假劣农药、过度宣传使用范围的农药在市场屡见不鲜，农药产品质量合格率良莠不齐，农药进销货台账记录不全，农药包装废弃物回收处置不到位，经营人员总体素质不高，技术服务能力不足，以肥代药、超剂量超范围推荐农药，</w:t>
      </w:r>
      <w:r>
        <w:rPr>
          <w:rFonts w:hint="eastAsia" w:ascii="仿宋" w:hAnsi="仿宋" w:eastAsia="仿宋" w:cs="仿宋_GB2312"/>
          <w:bCs/>
          <w:color w:val="000000"/>
          <w:kern w:val="0"/>
          <w:sz w:val="28"/>
          <w:szCs w:val="28"/>
        </w:rPr>
        <w:t>科学合理推荐农药、正确说明农药用途和使用技术落实不到位，</w:t>
      </w:r>
      <w:r>
        <w:rPr>
          <w:rFonts w:hint="eastAsia" w:ascii="仿宋" w:hAnsi="仿宋" w:eastAsia="仿宋" w:cs="仿宋_GB2312"/>
          <w:bCs/>
          <w:kern w:val="0"/>
          <w:sz w:val="28"/>
          <w:szCs w:val="28"/>
        </w:rPr>
        <w:t>经营制度化管理不到位，可追溯难，严重影响农药发挥预防、控制农作物病、虫、草鼠和其它有害生物及有目的地调节农作物生长的作用。</w:t>
      </w:r>
      <w:r>
        <w:rPr>
          <w:rFonts w:hint="eastAsia" w:ascii="仿宋" w:hAnsi="仿宋" w:eastAsia="仿宋" w:cs="仿宋_GB2312"/>
          <w:b/>
          <w:kern w:val="0"/>
          <w:sz w:val="28"/>
          <w:szCs w:val="28"/>
        </w:rPr>
        <w:t>一是</w:t>
      </w:r>
      <w:r>
        <w:rPr>
          <w:rFonts w:hint="eastAsia" w:ascii="仿宋" w:hAnsi="仿宋" w:eastAsia="仿宋" w:cs="仿宋_GB2312"/>
          <w:bCs/>
          <w:kern w:val="0"/>
          <w:sz w:val="28"/>
          <w:szCs w:val="28"/>
        </w:rPr>
        <w:t>防治效果差，易造成农作物药害，导致农作物减产或绝收，影响下茬作物生长；</w:t>
      </w:r>
      <w:r>
        <w:rPr>
          <w:rFonts w:hint="eastAsia" w:ascii="仿宋" w:hAnsi="仿宋" w:eastAsia="仿宋" w:cs="仿宋_GB2312"/>
          <w:b/>
          <w:kern w:val="0"/>
          <w:sz w:val="28"/>
          <w:szCs w:val="28"/>
        </w:rPr>
        <w:t>二是</w:t>
      </w:r>
      <w:r>
        <w:rPr>
          <w:rFonts w:hint="eastAsia" w:ascii="仿宋" w:hAnsi="仿宋" w:eastAsia="仿宋" w:cs="仿宋_GB2312"/>
          <w:bCs/>
          <w:kern w:val="0"/>
          <w:sz w:val="28"/>
          <w:szCs w:val="28"/>
        </w:rPr>
        <w:t>造成农作物农药残留超标，导致采收后的农产品品质下降，甚至造成农产品质量不安全，影响农民收入；</w:t>
      </w:r>
      <w:r>
        <w:rPr>
          <w:rFonts w:hint="eastAsia" w:ascii="仿宋" w:hAnsi="仿宋" w:eastAsia="仿宋" w:cs="仿宋_GB2312"/>
          <w:b/>
          <w:kern w:val="0"/>
          <w:sz w:val="28"/>
          <w:szCs w:val="28"/>
        </w:rPr>
        <w:t>三是</w:t>
      </w:r>
      <w:r>
        <w:rPr>
          <w:rFonts w:hint="eastAsia" w:ascii="仿宋" w:hAnsi="仿宋" w:eastAsia="仿宋" w:cs="仿宋_GB2312"/>
          <w:bCs/>
          <w:kern w:val="0"/>
          <w:sz w:val="28"/>
          <w:szCs w:val="28"/>
        </w:rPr>
        <w:t>易造成人畜中毒，天敌生物及其他有益生物种群异常变化；</w:t>
      </w:r>
      <w:r>
        <w:rPr>
          <w:rFonts w:hint="eastAsia" w:ascii="仿宋" w:hAnsi="仿宋" w:eastAsia="仿宋" w:cs="仿宋_GB2312"/>
          <w:b/>
          <w:kern w:val="0"/>
          <w:sz w:val="28"/>
          <w:szCs w:val="28"/>
        </w:rPr>
        <w:t>四是</w:t>
      </w:r>
      <w:r>
        <w:rPr>
          <w:rFonts w:hint="eastAsia" w:ascii="仿宋" w:hAnsi="仿宋" w:eastAsia="仿宋" w:cs="仿宋_GB2312"/>
          <w:bCs/>
          <w:kern w:val="0"/>
          <w:sz w:val="28"/>
          <w:szCs w:val="28"/>
        </w:rPr>
        <w:t>严重影响环境安全，造成水、土壤等环境污染。</w:t>
      </w:r>
    </w:p>
    <w:p w14:paraId="32D2E654">
      <w:pPr>
        <w:spacing w:line="520" w:lineRule="exact"/>
        <w:ind w:firstLine="560" w:firstLineChars="200"/>
        <w:rPr>
          <w:rFonts w:hint="eastAsia" w:ascii="仿宋" w:hAnsi="仿宋" w:eastAsia="仿宋" w:cs="仿宋_GB2312"/>
          <w:bCs/>
          <w:kern w:val="0"/>
          <w:sz w:val="28"/>
          <w:szCs w:val="28"/>
        </w:rPr>
      </w:pPr>
      <w:r>
        <w:rPr>
          <w:rFonts w:hint="eastAsia" w:ascii="仿宋" w:hAnsi="仿宋" w:eastAsia="仿宋" w:cs="仿宋_GB2312"/>
          <w:bCs/>
          <w:kern w:val="0"/>
          <w:sz w:val="28"/>
          <w:szCs w:val="28"/>
        </w:rPr>
        <w:t>“农药产品从哪里来，到哪里去了”是当今社会关注的热点，解决问题的关键在于农药经营，农药经营是连接农药生产和使用的关键枢纽，是维护市场秩序、科学推广应用的核心环节，</w:t>
      </w:r>
      <w:r>
        <w:rPr>
          <w:rFonts w:hint="eastAsia" w:ascii="仿宋" w:hAnsi="仿宋" w:eastAsia="仿宋" w:cs="仿宋_GB2312"/>
          <w:bCs/>
          <w:color w:val="000000"/>
          <w:kern w:val="0"/>
          <w:sz w:val="28"/>
          <w:szCs w:val="28"/>
        </w:rPr>
        <w:t>农药经营单位要具备扎实的专业基础，丰富的生产实践，才能因地制宜解决农作物病虫草害实际问题，</w:t>
      </w:r>
      <w:r>
        <w:rPr>
          <w:rFonts w:hint="eastAsia" w:ascii="仿宋" w:hAnsi="仿宋" w:eastAsia="仿宋" w:cs="仿宋_GB2312"/>
          <w:bCs/>
          <w:kern w:val="0"/>
          <w:sz w:val="28"/>
          <w:szCs w:val="28"/>
        </w:rPr>
        <w:t>根据追溯系统追踪查询农药的“来去”，赋予农药登记、生产、经营、使用一个完整的历程。</w:t>
      </w:r>
      <w:r>
        <w:rPr>
          <w:rFonts w:hint="eastAsia" w:ascii="仿宋" w:hAnsi="仿宋" w:eastAsia="仿宋" w:cs="仿宋_GB2312"/>
          <w:bCs/>
          <w:color w:val="000000"/>
          <w:kern w:val="0"/>
          <w:sz w:val="28"/>
          <w:szCs w:val="28"/>
        </w:rPr>
        <w:t>新修订的《农产品质量安全法》对从事农药经营的人员在指导农民选药、用药方面提出了更高的要求，</w:t>
      </w:r>
      <w:r>
        <w:rPr>
          <w:rFonts w:hint="eastAsia" w:ascii="仿宋" w:hAnsi="仿宋" w:eastAsia="仿宋" w:cs="仿宋_GB2312"/>
          <w:bCs/>
          <w:kern w:val="0"/>
          <w:sz w:val="28"/>
          <w:szCs w:val="28"/>
        </w:rPr>
        <w:t>制定农药标准化经营门店创建标准，</w:t>
      </w:r>
      <w:r>
        <w:rPr>
          <w:rFonts w:hint="eastAsia" w:ascii="仿宋" w:hAnsi="仿宋" w:eastAsia="仿宋" w:cs="仿宋_GB2312"/>
          <w:bCs/>
          <w:color w:val="000000"/>
          <w:kern w:val="0"/>
          <w:sz w:val="28"/>
          <w:szCs w:val="28"/>
        </w:rPr>
        <w:t>以更高的要求、更精的标准实现农药经营门店的科学、规范化管理，整体提升经营能力、科学用药水平</w:t>
      </w:r>
      <w:r>
        <w:rPr>
          <w:rFonts w:hint="eastAsia" w:ascii="仿宋" w:hAnsi="仿宋" w:eastAsia="仿宋" w:cs="仿宋_GB2312"/>
          <w:bCs/>
          <w:kern w:val="0"/>
          <w:sz w:val="28"/>
          <w:szCs w:val="28"/>
        </w:rPr>
        <w:t>，推动新疆农药经营</w:t>
      </w:r>
      <w:r>
        <w:rPr>
          <w:rFonts w:hint="eastAsia" w:ascii="仿宋" w:hAnsi="仿宋" w:eastAsia="仿宋" w:cs="仿宋_GB2312"/>
          <w:bCs/>
          <w:color w:val="000000"/>
          <w:kern w:val="0"/>
          <w:sz w:val="28"/>
          <w:szCs w:val="28"/>
        </w:rPr>
        <w:t>管理更加规范化、服务更加贴心化、使用更加科学化，共同实现农药行业的高质量绿色发展。</w:t>
      </w:r>
    </w:p>
    <w:p w14:paraId="3D6ADA57">
      <w:pPr>
        <w:spacing w:line="520" w:lineRule="exact"/>
        <w:ind w:firstLine="560" w:firstLineChars="200"/>
        <w:rPr>
          <w:rFonts w:ascii="黑体" w:hAnsi="黑体" w:eastAsia="黑体" w:cs="仿宋"/>
          <w:bCs/>
          <w:kern w:val="0"/>
          <w:sz w:val="28"/>
          <w:szCs w:val="28"/>
        </w:rPr>
      </w:pPr>
      <w:r>
        <w:rPr>
          <w:rFonts w:hint="eastAsia" w:ascii="黑体" w:hAnsi="黑体" w:eastAsia="黑体" w:cs="仿宋"/>
          <w:bCs/>
          <w:kern w:val="0"/>
          <w:sz w:val="28"/>
          <w:szCs w:val="28"/>
        </w:rPr>
        <w:t>二、标准编制的主要过程</w:t>
      </w:r>
    </w:p>
    <w:p w14:paraId="2D61DA54">
      <w:pPr>
        <w:spacing w:line="52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（一）成立编写小组</w:t>
      </w:r>
    </w:p>
    <w:p w14:paraId="31CBD5B3">
      <w:pPr>
        <w:spacing w:line="520" w:lineRule="exact"/>
        <w:ind w:firstLine="560" w:firstLineChars="200"/>
        <w:rPr>
          <w:rFonts w:hint="eastAsia" w:ascii="仿宋" w:hAnsi="仿宋" w:eastAsia="仿宋" w:cs="仿宋_GB2312"/>
          <w:bCs/>
          <w:kern w:val="0"/>
          <w:sz w:val="28"/>
          <w:szCs w:val="28"/>
        </w:rPr>
      </w:pPr>
      <w:r>
        <w:rPr>
          <w:rFonts w:hint="eastAsia" w:ascii="仿宋" w:hAnsi="仿宋" w:eastAsia="仿宋" w:cs="仿宋_GB2312"/>
          <w:bCs/>
          <w:kern w:val="0"/>
          <w:sz w:val="28"/>
          <w:szCs w:val="28"/>
        </w:rPr>
        <w:t>为顺利完成标准的制定工作，兵团农业技术推广总站牵头联合新疆维吾尔自治区农药检定所有关专家组成标准编制小组，负责标准的起草和编制工作。主要起草人田英、韩青、毕显杰、艾合买提江·买买提、马江锋、安楠、姚文飞、于炼、翟振平、朱玉永、李贤超、张新全、王嵚、王映山、邓庭和、李勇、柯贤浩、杨瑞、张豪凯、阿达来提·阿布都热依木、田聪、常英杰、侯文远、冯远科、张海沈、卢小燕。</w:t>
      </w:r>
    </w:p>
    <w:p w14:paraId="7D057F46">
      <w:pPr>
        <w:spacing w:line="520" w:lineRule="exact"/>
        <w:ind w:firstLine="560" w:firstLineChars="200"/>
        <w:rPr>
          <w:rFonts w:ascii="仿宋" w:hAnsi="仿宋" w:eastAsia="仿宋" w:cs="仿宋_GB2312"/>
          <w:bCs/>
          <w:kern w:val="0"/>
          <w:sz w:val="28"/>
          <w:szCs w:val="28"/>
        </w:rPr>
      </w:pPr>
      <w:r>
        <w:rPr>
          <w:rFonts w:hint="eastAsia" w:ascii="仿宋" w:hAnsi="仿宋" w:eastAsia="仿宋" w:cs="仿宋_GB2312"/>
          <w:bCs/>
          <w:kern w:val="0"/>
          <w:sz w:val="28"/>
          <w:szCs w:val="28"/>
        </w:rPr>
        <w:t>（二）标准起草阶段</w:t>
      </w:r>
    </w:p>
    <w:p w14:paraId="13F65F3B">
      <w:pPr>
        <w:spacing w:line="520" w:lineRule="exact"/>
        <w:ind w:firstLine="560" w:firstLineChars="200"/>
        <w:rPr>
          <w:rFonts w:ascii="仿宋" w:hAnsi="仿宋" w:eastAsia="仿宋" w:cs="仿宋_GB2312"/>
          <w:bCs/>
          <w:kern w:val="0"/>
          <w:sz w:val="28"/>
          <w:szCs w:val="28"/>
        </w:rPr>
      </w:pPr>
      <w:r>
        <w:rPr>
          <w:rFonts w:hint="eastAsia" w:ascii="仿宋" w:hAnsi="仿宋" w:eastAsia="仿宋" w:cs="仿宋_GB2312"/>
          <w:bCs/>
          <w:kern w:val="0"/>
          <w:sz w:val="28"/>
          <w:szCs w:val="28"/>
        </w:rPr>
        <w:t>2</w:t>
      </w:r>
      <w:r>
        <w:rPr>
          <w:rFonts w:ascii="仿宋" w:hAnsi="仿宋" w:eastAsia="仿宋" w:cs="仿宋_GB2312"/>
          <w:bCs/>
          <w:kern w:val="0"/>
          <w:sz w:val="28"/>
          <w:szCs w:val="28"/>
        </w:rPr>
        <w:t>018</w:t>
      </w:r>
      <w:r>
        <w:rPr>
          <w:rFonts w:hint="eastAsia" w:ascii="仿宋" w:hAnsi="仿宋" w:eastAsia="仿宋" w:cs="仿宋_GB2312"/>
          <w:bCs/>
          <w:kern w:val="0"/>
          <w:sz w:val="28"/>
          <w:szCs w:val="28"/>
        </w:rPr>
        <w:t>年8月-</w:t>
      </w:r>
      <w:r>
        <w:rPr>
          <w:rFonts w:ascii="仿宋" w:hAnsi="仿宋" w:eastAsia="仿宋" w:cs="仿宋_GB2312"/>
          <w:bCs/>
          <w:kern w:val="0"/>
          <w:sz w:val="28"/>
          <w:szCs w:val="28"/>
        </w:rPr>
        <w:t>2021</w:t>
      </w:r>
      <w:r>
        <w:rPr>
          <w:rFonts w:hint="eastAsia" w:ascii="仿宋" w:hAnsi="仿宋" w:eastAsia="仿宋" w:cs="仿宋_GB2312"/>
          <w:bCs/>
          <w:kern w:val="0"/>
          <w:sz w:val="28"/>
          <w:szCs w:val="28"/>
        </w:rPr>
        <w:t>年1</w:t>
      </w:r>
      <w:r>
        <w:rPr>
          <w:rFonts w:ascii="仿宋" w:hAnsi="仿宋" w:eastAsia="仿宋" w:cs="仿宋_GB2312"/>
          <w:bCs/>
          <w:kern w:val="0"/>
          <w:sz w:val="28"/>
          <w:szCs w:val="28"/>
        </w:rPr>
        <w:t>2</w:t>
      </w:r>
      <w:r>
        <w:rPr>
          <w:rFonts w:hint="eastAsia" w:ascii="仿宋" w:hAnsi="仿宋" w:eastAsia="仿宋" w:cs="仿宋_GB2312"/>
          <w:bCs/>
          <w:kern w:val="0"/>
          <w:sz w:val="28"/>
          <w:szCs w:val="28"/>
        </w:rPr>
        <w:t>月，进行项目工作，总结工作中好的经验及做法，广泛征求新疆各市县农业农村部门和农药经营门店工作人员，确定项目可行性。</w:t>
      </w:r>
    </w:p>
    <w:p w14:paraId="407A5070">
      <w:pPr>
        <w:spacing w:line="520" w:lineRule="exact"/>
        <w:ind w:firstLine="560" w:firstLineChars="200"/>
        <w:rPr>
          <w:rFonts w:ascii="仿宋" w:hAnsi="仿宋" w:eastAsia="仿宋" w:cs="仿宋_GB2312"/>
          <w:bCs/>
          <w:kern w:val="0"/>
          <w:sz w:val="28"/>
          <w:szCs w:val="28"/>
        </w:rPr>
      </w:pPr>
      <w:r>
        <w:rPr>
          <w:rFonts w:hint="eastAsia" w:ascii="仿宋" w:hAnsi="仿宋" w:eastAsia="仿宋" w:cs="仿宋_GB2312"/>
          <w:bCs/>
          <w:kern w:val="0"/>
          <w:sz w:val="28"/>
          <w:szCs w:val="28"/>
        </w:rPr>
        <w:t>2</w:t>
      </w:r>
      <w:r>
        <w:rPr>
          <w:rFonts w:ascii="仿宋" w:hAnsi="仿宋" w:eastAsia="仿宋" w:cs="仿宋_GB2312"/>
          <w:bCs/>
          <w:kern w:val="0"/>
          <w:sz w:val="28"/>
          <w:szCs w:val="28"/>
        </w:rPr>
        <w:t>022</w:t>
      </w:r>
      <w:bookmarkStart w:id="0" w:name="_GoBack"/>
      <w:bookmarkEnd w:id="0"/>
      <w:r>
        <w:rPr>
          <w:rFonts w:hint="eastAsia" w:ascii="仿宋" w:hAnsi="仿宋" w:eastAsia="仿宋" w:cs="仿宋_GB2312"/>
          <w:bCs/>
          <w:kern w:val="0"/>
          <w:sz w:val="28"/>
          <w:szCs w:val="28"/>
        </w:rPr>
        <w:t>年1月至1</w:t>
      </w:r>
      <w:r>
        <w:rPr>
          <w:rFonts w:ascii="仿宋" w:hAnsi="仿宋" w:eastAsia="仿宋" w:cs="仿宋_GB2312"/>
          <w:bCs/>
          <w:kern w:val="0"/>
          <w:sz w:val="28"/>
          <w:szCs w:val="28"/>
        </w:rPr>
        <w:t>2</w:t>
      </w:r>
      <w:r>
        <w:rPr>
          <w:rFonts w:hint="eastAsia" w:ascii="仿宋" w:hAnsi="仿宋" w:eastAsia="仿宋" w:cs="仿宋_GB2312"/>
          <w:bCs/>
          <w:kern w:val="0"/>
          <w:sz w:val="28"/>
          <w:szCs w:val="28"/>
        </w:rPr>
        <w:t>月，根据相关部门和专家的建议，形成了标准编制思路，确定了标准编制原则，拟定了标准编制方案，起草了标准草案。</w:t>
      </w:r>
    </w:p>
    <w:p w14:paraId="39D91645">
      <w:pPr>
        <w:spacing w:line="520" w:lineRule="exact"/>
        <w:ind w:firstLine="560" w:firstLineChars="200"/>
        <w:rPr>
          <w:rFonts w:hint="eastAsia" w:ascii="仿宋" w:hAnsi="仿宋" w:eastAsia="仿宋" w:cs="仿宋_GB2312"/>
          <w:bCs/>
          <w:kern w:val="0"/>
          <w:sz w:val="28"/>
          <w:szCs w:val="28"/>
        </w:rPr>
      </w:pPr>
      <w:r>
        <w:rPr>
          <w:rFonts w:ascii="仿宋" w:hAnsi="仿宋" w:eastAsia="仿宋" w:cs="仿宋_GB2312"/>
          <w:bCs/>
          <w:kern w:val="0"/>
          <w:sz w:val="28"/>
          <w:szCs w:val="28"/>
        </w:rPr>
        <w:t>2023</w:t>
      </w:r>
      <w:r>
        <w:rPr>
          <w:rFonts w:hint="eastAsia" w:ascii="仿宋" w:hAnsi="仿宋" w:eastAsia="仿宋" w:cs="仿宋_GB2312"/>
          <w:bCs/>
          <w:kern w:val="0"/>
          <w:sz w:val="28"/>
          <w:szCs w:val="28"/>
        </w:rPr>
        <w:t>年1</w:t>
      </w:r>
      <w:r>
        <w:rPr>
          <w:rFonts w:ascii="仿宋" w:hAnsi="仿宋" w:eastAsia="仿宋" w:cs="仿宋_GB2312"/>
          <w:bCs/>
          <w:kern w:val="0"/>
          <w:sz w:val="28"/>
          <w:szCs w:val="28"/>
        </w:rPr>
        <w:t>-3</w:t>
      </w:r>
      <w:r>
        <w:rPr>
          <w:rFonts w:hint="eastAsia" w:ascii="仿宋" w:hAnsi="仿宋" w:eastAsia="仿宋" w:cs="仿宋_GB2312"/>
          <w:bCs/>
          <w:kern w:val="0"/>
          <w:sz w:val="28"/>
          <w:szCs w:val="28"/>
        </w:rPr>
        <w:t>月，上传标准的申请表及标准草案，申请立项。</w:t>
      </w:r>
    </w:p>
    <w:p w14:paraId="731F5623">
      <w:pPr>
        <w:spacing w:line="520" w:lineRule="exact"/>
        <w:ind w:firstLine="560" w:firstLineChars="200"/>
        <w:rPr>
          <w:rFonts w:ascii="黑体" w:hAnsi="黑体" w:eastAsia="黑体" w:cs="仿宋"/>
          <w:bCs/>
          <w:kern w:val="0"/>
          <w:sz w:val="28"/>
          <w:szCs w:val="28"/>
        </w:rPr>
      </w:pPr>
      <w:r>
        <w:rPr>
          <w:rFonts w:hint="eastAsia" w:ascii="黑体" w:hAnsi="黑体" w:eastAsia="黑体" w:cs="仿宋"/>
          <w:bCs/>
          <w:kern w:val="0"/>
          <w:sz w:val="28"/>
          <w:szCs w:val="28"/>
        </w:rPr>
        <w:t>三、标准技术内容说明</w:t>
      </w:r>
    </w:p>
    <w:p w14:paraId="7A58F152">
      <w:pPr>
        <w:spacing w:line="520" w:lineRule="exact"/>
        <w:ind w:firstLine="560" w:firstLineChars="200"/>
        <w:rPr>
          <w:rFonts w:hint="eastAsia" w:ascii="仿宋" w:hAnsi="仿宋" w:eastAsia="仿宋" w:cs="仿宋_GB2312"/>
          <w:color w:val="000000"/>
          <w:sz w:val="28"/>
          <w:szCs w:val="28"/>
        </w:rPr>
      </w:pPr>
      <w:r>
        <w:rPr>
          <w:rFonts w:hint="eastAsia" w:ascii="仿宋" w:hAnsi="仿宋" w:eastAsia="仿宋" w:cs="仿宋_GB2312"/>
          <w:bCs/>
          <w:kern w:val="0"/>
          <w:sz w:val="28"/>
          <w:szCs w:val="28"/>
        </w:rPr>
        <w:t>本标准包括范围、</w:t>
      </w:r>
      <w:r>
        <w:rPr>
          <w:rFonts w:hint="eastAsia" w:ascii="仿宋" w:hAnsi="仿宋" w:eastAsia="仿宋" w:cs="仿宋_GB2312"/>
          <w:color w:val="000000"/>
          <w:sz w:val="28"/>
          <w:szCs w:val="28"/>
        </w:rPr>
        <w:t>规范性引用文件、术语和定义、门店资质、经营人员、店容店貌、农药产品、追溯系统、管理制度、包装废弃物共10部分。</w:t>
      </w:r>
    </w:p>
    <w:p w14:paraId="189F71B3">
      <w:pPr>
        <w:spacing w:line="520" w:lineRule="exact"/>
        <w:ind w:firstLine="560" w:firstLineChars="200"/>
        <w:rPr>
          <w:rFonts w:hint="eastAsia" w:ascii="仿宋" w:hAnsi="仿宋" w:eastAsia="仿宋" w:cs="仿宋_GB2312"/>
          <w:color w:val="000000"/>
          <w:sz w:val="28"/>
          <w:szCs w:val="28"/>
        </w:rPr>
      </w:pPr>
      <w:r>
        <w:rPr>
          <w:rFonts w:hint="eastAsia" w:ascii="仿宋" w:hAnsi="仿宋" w:eastAsia="仿宋" w:cs="仿宋_GB2312"/>
          <w:color w:val="000000"/>
          <w:sz w:val="28"/>
          <w:szCs w:val="28"/>
        </w:rPr>
        <w:t>在标准内容上主要说明如下：</w:t>
      </w:r>
    </w:p>
    <w:p w14:paraId="70DBFF4C">
      <w:pPr>
        <w:spacing w:line="520" w:lineRule="exact"/>
        <w:ind w:firstLine="562" w:firstLineChars="200"/>
        <w:rPr>
          <w:rFonts w:hint="eastAsia" w:ascii="仿宋" w:hAnsi="仿宋" w:eastAsia="仿宋" w:cs="仿宋_GB2312"/>
          <w:b/>
          <w:bCs/>
          <w:kern w:val="0"/>
          <w:sz w:val="28"/>
          <w:szCs w:val="28"/>
        </w:rPr>
      </w:pPr>
      <w:r>
        <w:rPr>
          <w:rFonts w:hint="eastAsia" w:ascii="仿宋" w:hAnsi="仿宋" w:eastAsia="仿宋" w:cs="华文楷体"/>
          <w:b/>
          <w:bCs/>
          <w:color w:val="000000"/>
          <w:sz w:val="28"/>
          <w:szCs w:val="28"/>
        </w:rPr>
        <w:t>1．</w:t>
      </w:r>
      <w:r>
        <w:rPr>
          <w:rFonts w:hint="eastAsia" w:ascii="仿宋" w:hAnsi="仿宋" w:eastAsia="仿宋" w:cs="仿宋_GB2312"/>
          <w:b/>
          <w:bCs/>
          <w:kern w:val="0"/>
          <w:sz w:val="28"/>
          <w:szCs w:val="28"/>
        </w:rPr>
        <w:t>范围</w:t>
      </w:r>
    </w:p>
    <w:p w14:paraId="4EF0F8BD">
      <w:pPr>
        <w:spacing w:line="520" w:lineRule="exact"/>
        <w:ind w:firstLine="560" w:firstLineChars="200"/>
        <w:rPr>
          <w:rFonts w:hint="eastAsia" w:ascii="仿宋" w:hAnsi="仿宋" w:eastAsia="仿宋" w:cs="仿宋_GB2312"/>
          <w:bCs/>
          <w:kern w:val="0"/>
          <w:sz w:val="28"/>
          <w:szCs w:val="28"/>
        </w:rPr>
      </w:pPr>
      <w:r>
        <w:rPr>
          <w:rFonts w:hint="eastAsia" w:ascii="仿宋" w:hAnsi="仿宋" w:eastAsia="仿宋" w:cs="仿宋_GB2312"/>
          <w:bCs/>
          <w:kern w:val="0"/>
          <w:sz w:val="28"/>
          <w:szCs w:val="28"/>
        </w:rPr>
        <w:t>本标准规定了新疆范围内农药标准化经营门店在资质要求、经营人员、店容店貌、农药经营产品情况、追溯管理系统、管理制度情况、农药包装废弃物回收处理等方面的技术标准。适用于新疆农药经营服务门店的标准化管理。</w:t>
      </w:r>
    </w:p>
    <w:p w14:paraId="266491C1">
      <w:pPr>
        <w:spacing w:line="520" w:lineRule="exact"/>
        <w:ind w:firstLine="562" w:firstLineChars="200"/>
        <w:rPr>
          <w:rFonts w:hint="eastAsia" w:ascii="仿宋" w:hAnsi="仿宋" w:eastAsia="仿宋" w:cs="仿宋_GB2312"/>
          <w:b/>
          <w:bCs/>
          <w:kern w:val="0"/>
          <w:sz w:val="28"/>
          <w:szCs w:val="28"/>
        </w:rPr>
      </w:pPr>
      <w:r>
        <w:rPr>
          <w:rFonts w:hint="eastAsia" w:ascii="仿宋" w:hAnsi="仿宋" w:eastAsia="仿宋" w:cs="仿宋_GB2312"/>
          <w:b/>
          <w:bCs/>
          <w:kern w:val="0"/>
          <w:sz w:val="28"/>
          <w:szCs w:val="28"/>
        </w:rPr>
        <w:t>2.规范性引用文件</w:t>
      </w:r>
    </w:p>
    <w:p w14:paraId="7109227D">
      <w:pPr>
        <w:spacing w:line="520" w:lineRule="exact"/>
        <w:ind w:firstLine="560" w:firstLineChars="200"/>
        <w:rPr>
          <w:rFonts w:ascii="仿宋" w:hAnsi="仿宋" w:eastAsia="仿宋" w:cs="仿宋_GB2312"/>
          <w:bCs/>
          <w:kern w:val="0"/>
          <w:sz w:val="28"/>
          <w:szCs w:val="28"/>
        </w:rPr>
      </w:pPr>
      <w:r>
        <w:rPr>
          <w:rFonts w:hint="eastAsia" w:ascii="仿宋" w:hAnsi="仿宋" w:eastAsia="仿宋" w:cs="仿宋_GB2312"/>
          <w:bCs/>
          <w:kern w:val="0"/>
          <w:sz w:val="28"/>
          <w:szCs w:val="28"/>
        </w:rPr>
        <w:t>包括《农药管理条例》（</w:t>
      </w:r>
      <w:r>
        <w:rPr>
          <w:rFonts w:ascii="仿宋" w:hAnsi="仿宋" w:eastAsia="仿宋" w:cs="仿宋_GB2312"/>
          <w:bCs/>
          <w:kern w:val="0"/>
          <w:sz w:val="28"/>
          <w:szCs w:val="28"/>
        </w:rPr>
        <w:t>1997年5月8日中华人民共和国国务院令第216号发布,2017年2月8日国务院第164次常务会议修订通过</w:t>
      </w:r>
      <w:r>
        <w:rPr>
          <w:rFonts w:hint="eastAsia" w:ascii="仿宋" w:hAnsi="仿宋" w:eastAsia="仿宋" w:cs="仿宋_GB2312"/>
          <w:bCs/>
          <w:kern w:val="0"/>
          <w:sz w:val="28"/>
          <w:szCs w:val="28"/>
        </w:rPr>
        <w:t>）。</w:t>
      </w:r>
    </w:p>
    <w:p w14:paraId="03754B25">
      <w:pPr>
        <w:spacing w:line="520" w:lineRule="exact"/>
        <w:ind w:firstLine="560" w:firstLineChars="200"/>
        <w:rPr>
          <w:rFonts w:hint="eastAsia" w:ascii="仿宋" w:hAnsi="仿宋" w:eastAsia="仿宋" w:cs="仿宋_GB2312"/>
          <w:bCs/>
          <w:kern w:val="0"/>
          <w:sz w:val="28"/>
          <w:szCs w:val="28"/>
        </w:rPr>
      </w:pPr>
      <w:r>
        <w:rPr>
          <w:rFonts w:hint="eastAsia" w:ascii="仿宋" w:hAnsi="仿宋" w:eastAsia="仿宋" w:cs="仿宋_GB2312"/>
          <w:bCs/>
          <w:kern w:val="0"/>
          <w:sz w:val="28"/>
          <w:szCs w:val="28"/>
        </w:rPr>
        <w:t>《农药经营许可管理办法》</w:t>
      </w:r>
      <w:r>
        <w:rPr>
          <w:rFonts w:ascii="仿宋" w:hAnsi="仿宋" w:eastAsia="仿宋" w:cs="仿宋_GB2312"/>
          <w:bCs/>
          <w:kern w:val="0"/>
          <w:sz w:val="28"/>
          <w:szCs w:val="28"/>
        </w:rPr>
        <w:t>(农业部令2017年第5号)</w:t>
      </w:r>
      <w:r>
        <w:rPr>
          <w:rFonts w:hint="eastAsia" w:ascii="仿宋" w:hAnsi="仿宋" w:eastAsia="仿宋" w:cs="仿宋_GB2312"/>
          <w:bCs/>
          <w:kern w:val="0"/>
          <w:sz w:val="28"/>
          <w:szCs w:val="28"/>
        </w:rPr>
        <w:t>。</w:t>
      </w:r>
    </w:p>
    <w:p w14:paraId="5E53584A">
      <w:pPr>
        <w:spacing w:line="520" w:lineRule="exact"/>
        <w:ind w:firstLine="560" w:firstLineChars="200"/>
        <w:rPr>
          <w:rFonts w:hint="eastAsia" w:ascii="仿宋" w:hAnsi="仿宋" w:eastAsia="仿宋" w:cs="仿宋_GB2312"/>
          <w:bCs/>
          <w:kern w:val="0"/>
          <w:sz w:val="28"/>
          <w:szCs w:val="28"/>
        </w:rPr>
      </w:pPr>
      <w:r>
        <w:rPr>
          <w:rFonts w:ascii="仿宋" w:hAnsi="仿宋" w:eastAsia="仿宋" w:cs="仿宋_GB2312"/>
          <w:bCs/>
          <w:kern w:val="0"/>
          <w:sz w:val="28"/>
          <w:szCs w:val="28"/>
        </w:rPr>
        <w:t>T/CAPDA 007-2020《农药经营行为规范》</w:t>
      </w:r>
      <w:r>
        <w:rPr>
          <w:rFonts w:hint="eastAsia" w:ascii="仿宋" w:hAnsi="仿宋" w:eastAsia="仿宋" w:cs="仿宋_GB2312"/>
          <w:bCs/>
          <w:kern w:val="0"/>
          <w:sz w:val="28"/>
          <w:szCs w:val="28"/>
        </w:rPr>
        <w:t>。</w:t>
      </w:r>
    </w:p>
    <w:p w14:paraId="6F6D1629">
      <w:pPr>
        <w:spacing w:line="520" w:lineRule="exact"/>
        <w:ind w:firstLine="562" w:firstLineChars="200"/>
        <w:rPr>
          <w:rFonts w:hint="eastAsia" w:ascii="仿宋" w:hAnsi="仿宋" w:eastAsia="仿宋" w:cs="仿宋_GB2312"/>
          <w:b/>
          <w:bCs/>
          <w:kern w:val="0"/>
          <w:sz w:val="28"/>
          <w:szCs w:val="28"/>
        </w:rPr>
      </w:pPr>
      <w:r>
        <w:rPr>
          <w:rFonts w:hint="eastAsia" w:ascii="仿宋" w:hAnsi="仿宋" w:eastAsia="仿宋" w:cs="仿宋_GB2312"/>
          <w:b/>
          <w:bCs/>
          <w:kern w:val="0"/>
          <w:sz w:val="28"/>
          <w:szCs w:val="28"/>
        </w:rPr>
        <w:t>3.术语和定义</w:t>
      </w:r>
    </w:p>
    <w:p w14:paraId="0AD8A45A">
      <w:pPr>
        <w:spacing w:line="520" w:lineRule="exact"/>
        <w:ind w:firstLine="560" w:firstLineChars="200"/>
        <w:rPr>
          <w:rFonts w:hint="eastAsia" w:ascii="仿宋" w:hAnsi="仿宋" w:eastAsia="仿宋" w:cs="仿宋_GB2312"/>
          <w:bCs/>
          <w:kern w:val="0"/>
          <w:sz w:val="28"/>
          <w:szCs w:val="28"/>
        </w:rPr>
      </w:pPr>
      <w:r>
        <w:rPr>
          <w:rFonts w:hint="eastAsia" w:ascii="仿宋" w:hAnsi="仿宋" w:eastAsia="仿宋" w:cs="仿宋_GB2312"/>
          <w:bCs/>
          <w:kern w:val="0"/>
          <w:sz w:val="28"/>
          <w:szCs w:val="28"/>
        </w:rPr>
        <w:t>为避免标准使用者对技术内容的理解产生误解和歧义，对农药经营、农药经营者、农药仓储场所、农药经营标准化管理服务门店等进行了定义。</w:t>
      </w:r>
    </w:p>
    <w:p w14:paraId="3E434484">
      <w:pPr>
        <w:spacing w:line="520" w:lineRule="exact"/>
        <w:ind w:firstLine="562" w:firstLineChars="200"/>
        <w:rPr>
          <w:rFonts w:hint="eastAsia" w:ascii="仿宋" w:hAnsi="仿宋" w:eastAsia="仿宋" w:cs="仿宋_GB2312"/>
          <w:b/>
          <w:bCs/>
          <w:kern w:val="0"/>
          <w:sz w:val="28"/>
          <w:szCs w:val="28"/>
        </w:rPr>
      </w:pPr>
      <w:r>
        <w:rPr>
          <w:rFonts w:hint="eastAsia" w:ascii="仿宋" w:hAnsi="仿宋" w:eastAsia="仿宋" w:cs="仿宋_GB2312"/>
          <w:b/>
          <w:bCs/>
          <w:kern w:val="0"/>
          <w:sz w:val="28"/>
          <w:szCs w:val="28"/>
        </w:rPr>
        <w:t>4.门店资质要求</w:t>
      </w:r>
    </w:p>
    <w:p w14:paraId="7A0BE18B">
      <w:pPr>
        <w:spacing w:line="520" w:lineRule="exact"/>
        <w:ind w:firstLine="560" w:firstLineChars="200"/>
        <w:rPr>
          <w:rFonts w:hint="eastAsia" w:ascii="仿宋" w:hAnsi="仿宋" w:eastAsia="仿宋" w:cs="仿宋_GB2312"/>
          <w:bCs/>
          <w:kern w:val="0"/>
          <w:sz w:val="28"/>
          <w:szCs w:val="28"/>
        </w:rPr>
      </w:pPr>
      <w:r>
        <w:rPr>
          <w:rFonts w:hint="eastAsia" w:ascii="仿宋" w:hAnsi="仿宋" w:eastAsia="仿宋" w:cs="仿宋_GB2312"/>
          <w:bCs/>
          <w:kern w:val="0"/>
          <w:sz w:val="28"/>
          <w:szCs w:val="28"/>
        </w:rPr>
        <w:t>新疆辖区内农药经营门店必备的证照、经营年限、符合限制使用农药布局等要求。</w:t>
      </w:r>
    </w:p>
    <w:p w14:paraId="5193D5BB">
      <w:pPr>
        <w:spacing w:line="520" w:lineRule="exact"/>
        <w:ind w:firstLine="562" w:firstLineChars="200"/>
        <w:rPr>
          <w:rFonts w:hint="eastAsia" w:ascii="仿宋" w:hAnsi="仿宋" w:eastAsia="仿宋" w:cs="仿宋_GB2312"/>
          <w:b/>
          <w:bCs/>
          <w:kern w:val="0"/>
          <w:sz w:val="28"/>
          <w:szCs w:val="28"/>
        </w:rPr>
      </w:pPr>
      <w:r>
        <w:rPr>
          <w:rFonts w:hint="eastAsia" w:ascii="仿宋" w:hAnsi="仿宋" w:eastAsia="仿宋" w:cs="仿宋_GB2312"/>
          <w:b/>
          <w:bCs/>
          <w:kern w:val="0"/>
          <w:sz w:val="28"/>
          <w:szCs w:val="28"/>
        </w:rPr>
        <w:t>5.经营人员</w:t>
      </w:r>
    </w:p>
    <w:p w14:paraId="1DBC2D36">
      <w:pPr>
        <w:spacing w:line="520" w:lineRule="exact"/>
        <w:ind w:firstLine="560" w:firstLineChars="200"/>
        <w:rPr>
          <w:rFonts w:hint="eastAsia" w:ascii="仿宋" w:hAnsi="仿宋" w:eastAsia="仿宋" w:cs="仿宋_GB2312"/>
          <w:bCs/>
          <w:kern w:val="0"/>
          <w:sz w:val="28"/>
          <w:szCs w:val="28"/>
        </w:rPr>
      </w:pPr>
      <w:r>
        <w:rPr>
          <w:rFonts w:hint="eastAsia" w:ascii="仿宋" w:hAnsi="仿宋" w:eastAsia="仿宋" w:cs="仿宋_GB2312"/>
          <w:bCs/>
          <w:kern w:val="0"/>
          <w:sz w:val="28"/>
          <w:szCs w:val="28"/>
        </w:rPr>
        <w:t>农药经营门店在岗人员基本学历、专业理论知识、实践知识等达到相关要求。</w:t>
      </w:r>
    </w:p>
    <w:p w14:paraId="44151ECE">
      <w:pPr>
        <w:spacing w:line="520" w:lineRule="exact"/>
        <w:ind w:firstLine="562" w:firstLineChars="200"/>
        <w:rPr>
          <w:rFonts w:hint="eastAsia" w:ascii="仿宋" w:hAnsi="仿宋" w:eastAsia="仿宋" w:cs="仿宋_GB2312"/>
          <w:b/>
          <w:bCs/>
          <w:kern w:val="0"/>
          <w:sz w:val="28"/>
          <w:szCs w:val="28"/>
        </w:rPr>
      </w:pPr>
      <w:r>
        <w:rPr>
          <w:rFonts w:hint="eastAsia" w:ascii="仿宋" w:hAnsi="仿宋" w:eastAsia="仿宋" w:cs="仿宋_GB2312"/>
          <w:b/>
          <w:bCs/>
          <w:kern w:val="0"/>
          <w:sz w:val="28"/>
          <w:szCs w:val="28"/>
        </w:rPr>
        <w:t>6.店容店貌</w:t>
      </w:r>
    </w:p>
    <w:p w14:paraId="47B3390E">
      <w:pPr>
        <w:spacing w:line="520" w:lineRule="exact"/>
        <w:ind w:firstLine="560" w:firstLineChars="200"/>
        <w:rPr>
          <w:rFonts w:hint="eastAsia" w:ascii="仿宋" w:hAnsi="仿宋" w:eastAsia="仿宋" w:cs="仿宋_GB2312"/>
          <w:bCs/>
          <w:kern w:val="0"/>
          <w:sz w:val="28"/>
          <w:szCs w:val="28"/>
        </w:rPr>
      </w:pPr>
      <w:r>
        <w:rPr>
          <w:rFonts w:hint="eastAsia" w:ascii="仿宋" w:hAnsi="仿宋" w:eastAsia="仿宋" w:cs="仿宋_GB2312"/>
          <w:bCs/>
          <w:kern w:val="0"/>
          <w:sz w:val="28"/>
          <w:szCs w:val="28"/>
        </w:rPr>
        <w:t>门店面积、室内摆放、周边环境等进行了详细规定。</w:t>
      </w:r>
    </w:p>
    <w:p w14:paraId="37948581">
      <w:pPr>
        <w:spacing w:line="520" w:lineRule="exact"/>
        <w:ind w:firstLine="562" w:firstLineChars="200"/>
        <w:rPr>
          <w:rFonts w:hint="eastAsia" w:ascii="仿宋" w:hAnsi="仿宋" w:eastAsia="仿宋" w:cs="仿宋_GB2312"/>
          <w:b/>
          <w:bCs/>
          <w:kern w:val="0"/>
          <w:sz w:val="28"/>
          <w:szCs w:val="28"/>
        </w:rPr>
      </w:pPr>
      <w:r>
        <w:rPr>
          <w:rFonts w:hint="eastAsia" w:ascii="仿宋" w:hAnsi="仿宋" w:eastAsia="仿宋" w:cs="仿宋_GB2312"/>
          <w:b/>
          <w:bCs/>
          <w:kern w:val="0"/>
          <w:sz w:val="28"/>
          <w:szCs w:val="28"/>
        </w:rPr>
        <w:t>7.经营农药产品情况</w:t>
      </w:r>
    </w:p>
    <w:p w14:paraId="70615D5E">
      <w:pPr>
        <w:spacing w:line="520" w:lineRule="exact"/>
        <w:ind w:firstLine="560" w:firstLineChars="200"/>
        <w:rPr>
          <w:rFonts w:hint="eastAsia" w:ascii="仿宋" w:hAnsi="仿宋" w:eastAsia="仿宋" w:cs="仿宋_GB2312"/>
          <w:bCs/>
          <w:kern w:val="0"/>
          <w:sz w:val="28"/>
          <w:szCs w:val="28"/>
        </w:rPr>
      </w:pPr>
      <w:r>
        <w:rPr>
          <w:rFonts w:hint="eastAsia" w:ascii="仿宋" w:hAnsi="仿宋" w:eastAsia="仿宋" w:cs="仿宋_GB2312"/>
          <w:bCs/>
          <w:kern w:val="0"/>
          <w:sz w:val="28"/>
          <w:szCs w:val="28"/>
        </w:rPr>
        <w:t>对经营农药产品的质量、包装等进行了规定。</w:t>
      </w:r>
    </w:p>
    <w:p w14:paraId="6AAB413B">
      <w:pPr>
        <w:spacing w:line="520" w:lineRule="exact"/>
        <w:ind w:firstLine="562" w:firstLineChars="200"/>
        <w:rPr>
          <w:rFonts w:hint="eastAsia" w:ascii="仿宋" w:hAnsi="仿宋" w:eastAsia="仿宋" w:cs="仿宋_GB2312"/>
          <w:b/>
          <w:bCs/>
          <w:kern w:val="0"/>
          <w:sz w:val="28"/>
          <w:szCs w:val="28"/>
        </w:rPr>
      </w:pPr>
      <w:r>
        <w:rPr>
          <w:rFonts w:hint="eastAsia" w:ascii="仿宋" w:hAnsi="仿宋" w:eastAsia="仿宋" w:cs="仿宋_GB2312"/>
          <w:b/>
          <w:bCs/>
          <w:kern w:val="0"/>
          <w:sz w:val="28"/>
          <w:szCs w:val="28"/>
        </w:rPr>
        <w:t>8.追溯管理系统</w:t>
      </w:r>
    </w:p>
    <w:p w14:paraId="668D7F65">
      <w:pPr>
        <w:spacing w:line="520" w:lineRule="exact"/>
        <w:ind w:firstLine="560" w:firstLineChars="200"/>
        <w:rPr>
          <w:rFonts w:hint="eastAsia" w:ascii="仿宋" w:hAnsi="仿宋" w:eastAsia="仿宋" w:cs="华文楷体"/>
          <w:b/>
          <w:bCs/>
          <w:color w:val="000000"/>
          <w:sz w:val="28"/>
          <w:szCs w:val="28"/>
        </w:rPr>
      </w:pPr>
      <w:r>
        <w:rPr>
          <w:rFonts w:hint="eastAsia" w:ascii="仿宋" w:hAnsi="仿宋" w:eastAsia="仿宋" w:cs="仿宋_GB2312"/>
          <w:bCs/>
          <w:kern w:val="0"/>
          <w:sz w:val="28"/>
          <w:szCs w:val="28"/>
        </w:rPr>
        <w:t>农药产品的来源、销售、使用的追溯关系到产品使用后的效果、药害处理等，建立有效的追溯系统。</w:t>
      </w:r>
    </w:p>
    <w:p w14:paraId="2E6EF338">
      <w:pPr>
        <w:spacing w:line="520" w:lineRule="exact"/>
        <w:ind w:firstLine="562" w:firstLineChars="200"/>
        <w:rPr>
          <w:rFonts w:hint="eastAsia" w:ascii="仿宋" w:hAnsi="仿宋" w:eastAsia="仿宋" w:cs="仿宋_GB2312"/>
          <w:b/>
          <w:bCs/>
          <w:kern w:val="0"/>
          <w:sz w:val="28"/>
          <w:szCs w:val="28"/>
        </w:rPr>
      </w:pPr>
      <w:r>
        <w:rPr>
          <w:rFonts w:hint="eastAsia" w:ascii="仿宋" w:hAnsi="仿宋" w:eastAsia="仿宋" w:cs="仿宋_GB2312"/>
          <w:b/>
          <w:bCs/>
          <w:kern w:val="0"/>
          <w:sz w:val="28"/>
          <w:szCs w:val="28"/>
        </w:rPr>
        <w:t>9.管理制度</w:t>
      </w:r>
    </w:p>
    <w:p w14:paraId="6D006854">
      <w:pPr>
        <w:spacing w:line="520" w:lineRule="exact"/>
        <w:ind w:firstLine="560" w:firstLineChars="200"/>
        <w:rPr>
          <w:rFonts w:hint="eastAsia" w:ascii="仿宋" w:hAnsi="仿宋" w:eastAsia="仿宋" w:cs="仿宋_GB2312"/>
          <w:bCs/>
          <w:kern w:val="0"/>
          <w:sz w:val="28"/>
          <w:szCs w:val="28"/>
        </w:rPr>
      </w:pPr>
      <w:r>
        <w:rPr>
          <w:rFonts w:hint="eastAsia" w:ascii="仿宋" w:hAnsi="仿宋" w:eastAsia="仿宋" w:cs="仿宋_GB2312"/>
          <w:bCs/>
          <w:kern w:val="0"/>
          <w:sz w:val="28"/>
          <w:szCs w:val="28"/>
        </w:rPr>
        <w:t>门店显著位置必须悬挂警示标语、责任承诺、台账记录、安全管理、安全防护、应急处置、质量投诉、仓库管理、农药包装废弃物回收处置、使用指导规章制度。</w:t>
      </w:r>
    </w:p>
    <w:p w14:paraId="2C28613E">
      <w:pPr>
        <w:spacing w:line="520" w:lineRule="exact"/>
        <w:ind w:firstLine="562" w:firstLineChars="200"/>
        <w:rPr>
          <w:rFonts w:hint="eastAsia" w:ascii="仿宋" w:hAnsi="仿宋" w:eastAsia="仿宋" w:cs="仿宋_GB2312"/>
          <w:b/>
          <w:bCs/>
          <w:kern w:val="0"/>
          <w:sz w:val="28"/>
          <w:szCs w:val="28"/>
        </w:rPr>
      </w:pPr>
      <w:r>
        <w:rPr>
          <w:rFonts w:hint="eastAsia" w:ascii="仿宋" w:hAnsi="仿宋" w:eastAsia="仿宋" w:cs="仿宋_GB2312"/>
          <w:b/>
          <w:bCs/>
          <w:kern w:val="0"/>
          <w:sz w:val="28"/>
          <w:szCs w:val="28"/>
        </w:rPr>
        <w:t>10.农药包装废弃物回收处理</w:t>
      </w:r>
    </w:p>
    <w:p w14:paraId="588ADC3D">
      <w:pPr>
        <w:spacing w:line="520" w:lineRule="exact"/>
        <w:ind w:firstLine="560" w:firstLineChars="200"/>
        <w:rPr>
          <w:rFonts w:ascii="仿宋" w:hAnsi="仿宋" w:eastAsia="仿宋" w:cs="仿宋_GB2312"/>
          <w:bCs/>
          <w:kern w:val="0"/>
          <w:sz w:val="28"/>
          <w:szCs w:val="28"/>
        </w:rPr>
      </w:pPr>
      <w:r>
        <w:rPr>
          <w:rFonts w:hint="eastAsia" w:ascii="仿宋" w:hAnsi="仿宋" w:eastAsia="仿宋" w:cs="仿宋_GB2312"/>
          <w:bCs/>
          <w:kern w:val="0"/>
          <w:sz w:val="28"/>
          <w:szCs w:val="28"/>
        </w:rPr>
        <w:t>农药产品使用后的包装废弃物回收与处置宣传、处理等规定。</w:t>
      </w:r>
    </w:p>
    <w:p w14:paraId="0D80FC48">
      <w:pPr>
        <w:spacing w:line="520" w:lineRule="exact"/>
        <w:ind w:firstLine="562" w:firstLineChars="200"/>
        <w:rPr>
          <w:rFonts w:ascii="仿宋" w:hAnsi="仿宋" w:eastAsia="仿宋" w:cs="仿宋_GB2312"/>
          <w:b/>
          <w:bCs/>
          <w:kern w:val="0"/>
          <w:sz w:val="28"/>
          <w:szCs w:val="28"/>
        </w:rPr>
      </w:pPr>
      <w:r>
        <w:rPr>
          <w:rFonts w:hint="eastAsia" w:ascii="仿宋" w:hAnsi="仿宋" w:eastAsia="仿宋" w:cs="仿宋_GB2312"/>
          <w:b/>
          <w:bCs/>
          <w:kern w:val="0"/>
          <w:sz w:val="28"/>
          <w:szCs w:val="28"/>
        </w:rPr>
        <w:t>1</w:t>
      </w:r>
      <w:r>
        <w:rPr>
          <w:rFonts w:ascii="仿宋" w:hAnsi="仿宋" w:eastAsia="仿宋" w:cs="仿宋_GB2312"/>
          <w:b/>
          <w:bCs/>
          <w:kern w:val="0"/>
          <w:sz w:val="28"/>
          <w:szCs w:val="28"/>
        </w:rPr>
        <w:t>1. 网络平台销售农药</w:t>
      </w:r>
    </w:p>
    <w:p w14:paraId="7914C5EE">
      <w:pPr>
        <w:spacing w:line="520" w:lineRule="exact"/>
        <w:ind w:firstLine="560" w:firstLineChars="200"/>
        <w:rPr>
          <w:rFonts w:hint="eastAsia" w:ascii="仿宋" w:hAnsi="仿宋" w:eastAsia="仿宋" w:cs="仿宋_GB2312"/>
          <w:bCs/>
          <w:kern w:val="0"/>
          <w:sz w:val="28"/>
          <w:szCs w:val="28"/>
        </w:rPr>
      </w:pPr>
      <w:r>
        <w:rPr>
          <w:rFonts w:hint="eastAsia" w:ascii="仿宋" w:hAnsi="仿宋" w:eastAsia="仿宋" w:cs="仿宋_GB2312"/>
          <w:bCs/>
          <w:kern w:val="0"/>
          <w:sz w:val="28"/>
          <w:szCs w:val="28"/>
        </w:rPr>
        <w:t>规定网络门店上提交营业执照和农药经营许可证，展示农药产品规格、价格等详细信息等。</w:t>
      </w:r>
    </w:p>
    <w:p w14:paraId="1E52C5E1">
      <w:pPr>
        <w:spacing w:line="520" w:lineRule="exact"/>
        <w:ind w:firstLine="560" w:firstLineChars="200"/>
        <w:rPr>
          <w:rFonts w:ascii="黑体" w:hAnsi="黑体" w:eastAsia="黑体" w:cs="仿宋"/>
          <w:bCs/>
          <w:kern w:val="0"/>
          <w:sz w:val="28"/>
          <w:szCs w:val="28"/>
        </w:rPr>
      </w:pPr>
      <w:r>
        <w:rPr>
          <w:rFonts w:hint="eastAsia" w:ascii="黑体" w:hAnsi="黑体" w:eastAsia="黑体" w:cs="仿宋"/>
          <w:bCs/>
          <w:kern w:val="0"/>
          <w:sz w:val="28"/>
          <w:szCs w:val="28"/>
        </w:rPr>
        <w:t>四、与有关的现行标准、法律、法规和强制性标准的关系</w:t>
      </w:r>
    </w:p>
    <w:p w14:paraId="0BA73388">
      <w:pPr>
        <w:spacing w:line="520" w:lineRule="exact"/>
        <w:ind w:firstLine="560" w:firstLineChars="200"/>
        <w:rPr>
          <w:rFonts w:hint="eastAsia" w:ascii="仿宋" w:hAnsi="仿宋" w:eastAsia="仿宋" w:cs="仿宋_GB2312"/>
          <w:bCs/>
          <w:kern w:val="0"/>
          <w:sz w:val="28"/>
          <w:szCs w:val="28"/>
        </w:rPr>
      </w:pPr>
      <w:r>
        <w:rPr>
          <w:rFonts w:hint="eastAsia" w:ascii="仿宋" w:hAnsi="仿宋" w:eastAsia="仿宋" w:cs="仿宋_GB2312"/>
          <w:bCs/>
          <w:kern w:val="0"/>
          <w:sz w:val="28"/>
          <w:szCs w:val="28"/>
        </w:rPr>
        <w:t>本标准依据现行的法律、法规和标准制定，各项内容与其没有冲突。</w:t>
      </w:r>
    </w:p>
    <w:p w14:paraId="726C5464">
      <w:pPr>
        <w:spacing w:line="520" w:lineRule="exact"/>
        <w:ind w:firstLine="560" w:firstLineChars="200"/>
        <w:rPr>
          <w:rFonts w:ascii="黑体" w:hAnsi="黑体" w:eastAsia="黑体" w:cs="仿宋"/>
          <w:bCs/>
          <w:kern w:val="0"/>
          <w:sz w:val="28"/>
          <w:szCs w:val="28"/>
        </w:rPr>
      </w:pPr>
      <w:r>
        <w:rPr>
          <w:rFonts w:hint="eastAsia" w:ascii="黑体" w:hAnsi="黑体" w:eastAsia="黑体" w:cs="仿宋"/>
          <w:bCs/>
          <w:kern w:val="0"/>
          <w:sz w:val="28"/>
          <w:szCs w:val="28"/>
        </w:rPr>
        <w:t>五、重大分歧意见的处理经过和依据</w:t>
      </w:r>
    </w:p>
    <w:p w14:paraId="68190A2A">
      <w:pPr>
        <w:spacing w:line="520" w:lineRule="exact"/>
        <w:ind w:firstLine="560" w:firstLineChars="200"/>
        <w:rPr>
          <w:rFonts w:hint="eastAsia" w:ascii="仿宋" w:hAnsi="仿宋" w:eastAsia="仿宋" w:cs="仿宋_GB2312"/>
          <w:bCs/>
          <w:kern w:val="0"/>
          <w:sz w:val="28"/>
          <w:szCs w:val="28"/>
        </w:rPr>
      </w:pPr>
      <w:r>
        <w:rPr>
          <w:rFonts w:hint="eastAsia" w:ascii="仿宋" w:hAnsi="仿宋" w:eastAsia="仿宋" w:cs="仿宋_GB2312"/>
          <w:bCs/>
          <w:kern w:val="0"/>
          <w:sz w:val="28"/>
          <w:szCs w:val="28"/>
        </w:rPr>
        <w:t xml:space="preserve">本标准制定过程中广泛征求意见，相关领域专家对本标准部分文字、格式等略作改动，无重大意见分歧。 </w:t>
      </w:r>
    </w:p>
    <w:p w14:paraId="7FBB7B02">
      <w:pPr>
        <w:spacing w:line="520" w:lineRule="exact"/>
        <w:ind w:firstLine="560" w:firstLineChars="200"/>
        <w:rPr>
          <w:rFonts w:ascii="黑体" w:hAnsi="黑体" w:eastAsia="黑体" w:cs="仿宋"/>
          <w:bCs/>
          <w:kern w:val="0"/>
          <w:sz w:val="28"/>
          <w:szCs w:val="28"/>
        </w:rPr>
      </w:pPr>
      <w:r>
        <w:rPr>
          <w:rFonts w:hint="eastAsia" w:ascii="黑体" w:hAnsi="黑体" w:eastAsia="黑体" w:cs="仿宋"/>
          <w:bCs/>
          <w:kern w:val="0"/>
          <w:sz w:val="28"/>
          <w:szCs w:val="28"/>
        </w:rPr>
        <w:t>六、本标准实施后的社会和经济效益</w:t>
      </w:r>
    </w:p>
    <w:p w14:paraId="4B7BC83D">
      <w:pPr>
        <w:pStyle w:val="4"/>
        <w:widowControl/>
        <w:spacing w:line="520" w:lineRule="exact"/>
        <w:ind w:firstLine="560" w:firstLineChars="200"/>
        <w:jc w:val="both"/>
        <w:rPr>
          <w:rFonts w:hint="eastAsia"/>
        </w:rPr>
      </w:pPr>
      <w:r>
        <w:rPr>
          <w:rFonts w:hint="eastAsia" w:ascii="仿宋" w:hAnsi="仿宋" w:eastAsia="仿宋" w:cs="仿宋_GB2312"/>
          <w:bCs/>
          <w:sz w:val="28"/>
          <w:szCs w:val="28"/>
        </w:rPr>
        <w:t>本标准的制定，进一步规范新疆辖区内农药经营门店标准化经营服务，</w:t>
      </w:r>
      <w:r>
        <w:rPr>
          <w:rFonts w:hint="eastAsia" w:ascii="仿宋" w:hAnsi="仿宋" w:eastAsia="仿宋" w:cs="仿宋_GB2312"/>
          <w:bCs/>
          <w:color w:val="000000"/>
          <w:sz w:val="28"/>
          <w:szCs w:val="28"/>
        </w:rPr>
        <w:t>充分发挥引领和示范作用，带动更多门店提升新层次、新水平，</w:t>
      </w:r>
      <w:r>
        <w:rPr>
          <w:rFonts w:hint="eastAsia" w:ascii="仿宋" w:hAnsi="仿宋" w:eastAsia="仿宋" w:cs="仿宋_GB2312"/>
          <w:bCs/>
          <w:sz w:val="28"/>
          <w:szCs w:val="28"/>
        </w:rPr>
        <w:t>实现农药经营管理水平及开方卖药、指导服务水平有明显提高，实现农</w:t>
      </w:r>
      <w:r>
        <w:rPr>
          <w:rFonts w:hint="eastAsia" w:ascii="仿宋" w:hAnsi="仿宋" w:eastAsia="仿宋" w:cs="仿宋_GB2312"/>
          <w:bCs/>
          <w:color w:val="000000"/>
          <w:sz w:val="28"/>
          <w:szCs w:val="28"/>
        </w:rPr>
        <w:t>药溯源管理，有效解决农作物药害、农药残留超标等问题，促进农业生产安全、农产品质量安全、生态环境安全、人畜健康安全，推动农业绿色高质量发展。</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0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none"/>
      <w:pStyle w:val="12"/>
      <w:lvlText w:val="表"/>
      <w:lvlJc w:val="left"/>
      <w:pPr>
        <w:tabs>
          <w:tab w:val="left" w:pos="360"/>
        </w:tabs>
        <w:ind w:left="0" w:firstLine="0"/>
      </w:pPr>
      <w:rPr>
        <w:rFonts w:hint="eastAsia" w:ascii="黑体" w:eastAsia="黑体"/>
        <w:b/>
        <w:i w:val="0"/>
        <w:sz w:val="20"/>
      </w:rPr>
    </w:lvl>
    <w:lvl w:ilvl="1" w:tentative="0">
      <w:start w:val="1"/>
      <w:numFmt w:val="decimal"/>
      <w:lvlText w:val="%2)"/>
      <w:lvlJc w:val="left"/>
      <w:pPr>
        <w:tabs>
          <w:tab w:val="left" w:pos="171"/>
        </w:tabs>
        <w:ind w:left="171" w:firstLine="249"/>
      </w:pPr>
      <w:rPr>
        <w:rFonts w:hint="default"/>
        <w:b w:val="0"/>
        <w:i w:val="0"/>
        <w:sz w:val="2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1"/>
    <w:multiLevelType w:val="multilevel"/>
    <w:tmpl w:val="00000001"/>
    <w:lvl w:ilvl="0" w:tentative="0">
      <w:start w:val="1"/>
      <w:numFmt w:val="none"/>
      <w:pStyle w:val="20"/>
      <w:suff w:val="nothing"/>
      <w:lvlText w:val="%1"/>
      <w:lvlJc w:val="left"/>
      <w:pPr>
        <w:ind w:left="0" w:firstLine="0"/>
      </w:pPr>
      <w:rPr>
        <w:rFonts w:hint="eastAsia"/>
      </w:rPr>
    </w:lvl>
    <w:lvl w:ilvl="1" w:tentative="0">
      <w:start w:val="1"/>
      <w:numFmt w:val="decimal"/>
      <w:pStyle w:val="18"/>
      <w:suff w:val="nothing"/>
      <w:lvlText w:val="%1%2　"/>
      <w:lvlJc w:val="left"/>
      <w:pPr>
        <w:ind w:left="142" w:firstLine="0"/>
      </w:pPr>
      <w:rPr>
        <w:rFonts w:hint="eastAsia" w:ascii="黑体" w:eastAsia="黑体"/>
        <w:b w:val="0"/>
        <w:i w:val="0"/>
        <w:sz w:val="21"/>
      </w:rPr>
    </w:lvl>
    <w:lvl w:ilvl="2" w:tentative="0">
      <w:start w:val="1"/>
      <w:numFmt w:val="decimal"/>
      <w:pStyle w:val="23"/>
      <w:suff w:val="nothing"/>
      <w:lvlText w:val="%1%2.%3　"/>
      <w:lvlJc w:val="left"/>
      <w:pPr>
        <w:ind w:left="426" w:firstLine="0"/>
      </w:pPr>
      <w:rPr>
        <w:rFonts w:hint="eastAsia" w:ascii="黑体" w:hAnsi="Times New Roman" w:eastAsia="黑体" w:cs="Times New Roman"/>
        <w:b w:val="0"/>
        <w:bCs w:val="0"/>
        <w:i w:val="0"/>
        <w:iCs w:val="0"/>
        <w:caps w:val="0"/>
        <w:smallCaps w:val="0"/>
        <w:vanish w:val="0"/>
        <w:color w:val="000000"/>
        <w:spacing w:val="0"/>
        <w:kern w:val="0"/>
        <w:position w:val="0"/>
        <w:sz w:val="21"/>
        <w:u w:val="none"/>
        <w:vertAlign w:val="baseline"/>
      </w:rPr>
    </w:lvl>
    <w:lvl w:ilvl="3" w:tentative="0">
      <w:start w:val="1"/>
      <w:numFmt w:val="decimal"/>
      <w:pStyle w:val="14"/>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pStyle w:val="16"/>
      <w:suff w:val="nothing"/>
      <w:lvlText w:val="%1%2.%3.%4.%5.%6　"/>
      <w:lvlJc w:val="left"/>
      <w:pPr>
        <w:ind w:left="0" w:firstLine="0"/>
      </w:pPr>
      <w:rPr>
        <w:rFonts w:hint="eastAsia" w:ascii="黑体" w:eastAsia="黑体"/>
        <w:b w:val="0"/>
        <w:i w:val="0"/>
        <w:sz w:val="21"/>
      </w:rPr>
    </w:lvl>
    <w:lvl w:ilvl="6" w:tentative="0">
      <w:start w:val="1"/>
      <w:numFmt w:val="decimal"/>
      <w:pStyle w:val="1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30F8E"/>
    <w:rsid w:val="21A47DD0"/>
    <w:rsid w:val="7E721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uiPriority w:val="1"/>
  </w:style>
  <w:style w:type="table" w:default="1" w:styleId="5">
    <w:name w:val="Normal Table"/>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jc w:val="left"/>
    </w:pPr>
    <w:rPr>
      <w:rFonts w:ascii="等线" w:hAnsi="等线" w:eastAsia="等线" w:cs="Times New Roman"/>
      <w:kern w:val="0"/>
      <w:sz w:val="24"/>
    </w:rPr>
  </w:style>
  <w:style w:type="character" w:styleId="7">
    <w:name w:val="FollowedHyperlink"/>
    <w:basedOn w:val="6"/>
    <w:qFormat/>
    <w:uiPriority w:val="99"/>
    <w:rPr>
      <w:color w:val="954F72"/>
      <w:u w:val="single"/>
    </w:rPr>
  </w:style>
  <w:style w:type="character" w:styleId="8">
    <w:name w:val="Hyperlink"/>
    <w:basedOn w:val="6"/>
    <w:qFormat/>
    <w:uiPriority w:val="99"/>
    <w:rPr>
      <w:color w:val="0563C1"/>
      <w:u w:val="single"/>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paragraph" w:customStyle="1" w:styleId="11">
    <w:name w:val="段"/>
    <w:qFormat/>
    <w:uiPriority w:val="0"/>
    <w:pPr>
      <w:ind w:firstLine="200" w:firstLineChars="200"/>
      <w:jc w:val="both"/>
    </w:pPr>
    <w:rPr>
      <w:rFonts w:ascii="宋体" w:hAnsi="Times New Roman" w:eastAsia="宋体" w:cs="Times New Roman"/>
      <w:kern w:val="0"/>
      <w:sz w:val="21"/>
      <w:szCs w:val="20"/>
      <w:lang w:val="en-US" w:eastAsia="zh-CN" w:bidi="ar-SA"/>
    </w:rPr>
  </w:style>
  <w:style w:type="paragraph" w:customStyle="1" w:styleId="12">
    <w:name w:val="附录表标题"/>
    <w:basedOn w:val="1"/>
    <w:next w:val="11"/>
    <w:qFormat/>
    <w:uiPriority w:val="0"/>
    <w:pPr>
      <w:widowControl/>
      <w:numPr>
        <w:ilvl w:val="0"/>
        <w:numId w:val="1"/>
      </w:numPr>
      <w:tabs>
        <w:tab w:val="clear" w:pos="360"/>
      </w:tabs>
      <w:jc w:val="center"/>
      <w:textAlignment w:val="baseline"/>
    </w:pPr>
    <w:rPr>
      <w:rFonts w:ascii="宋体" w:hAnsi="Times New Roman" w:eastAsia="宋体" w:cs="Times New Roman"/>
      <w:b/>
      <w:kern w:val="21"/>
      <w:szCs w:val="20"/>
    </w:rPr>
  </w:style>
  <w:style w:type="paragraph" w:customStyle="1" w:styleId="13">
    <w:name w:val="标准文件_段"/>
    <w:link w:val="22"/>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4">
    <w:name w:val="标准文件_二级条标题"/>
    <w:next w:val="13"/>
    <w:qFormat/>
    <w:uiPriority w:val="0"/>
    <w:pPr>
      <w:widowControl w:val="0"/>
      <w:numPr>
        <w:ilvl w:val="3"/>
        <w:numId w:val="2"/>
      </w:numPr>
      <w:spacing w:before="50" w:beforeLines="50" w:after="50" w:afterLines="50"/>
      <w:jc w:val="both"/>
      <w:outlineLvl w:val="2"/>
    </w:pPr>
    <w:rPr>
      <w:rFonts w:ascii="黑体" w:hAnsi="Times New Roman" w:eastAsia="黑体" w:cs="Times New Roman"/>
      <w:kern w:val="0"/>
      <w:sz w:val="21"/>
      <w:szCs w:val="20"/>
      <w:lang w:val="en-US" w:eastAsia="zh-CN" w:bidi="ar-SA"/>
    </w:rPr>
  </w:style>
  <w:style w:type="paragraph" w:customStyle="1" w:styleId="15">
    <w:name w:val="标准文件_三级条标题"/>
    <w:basedOn w:val="14"/>
    <w:next w:val="13"/>
    <w:qFormat/>
    <w:uiPriority w:val="0"/>
    <w:pPr>
      <w:widowControl/>
      <w:numPr>
        <w:ilvl w:val="4"/>
        <w:numId w:val="0"/>
      </w:numPr>
      <w:outlineLvl w:val="3"/>
    </w:pPr>
  </w:style>
  <w:style w:type="paragraph" w:customStyle="1" w:styleId="16">
    <w:name w:val="标准文件_四级条标题"/>
    <w:next w:val="13"/>
    <w:qFormat/>
    <w:uiPriority w:val="0"/>
    <w:pPr>
      <w:widowControl w:val="0"/>
      <w:numPr>
        <w:ilvl w:val="5"/>
        <w:numId w:val="2"/>
      </w:numPr>
      <w:spacing w:before="50" w:beforeLines="50" w:after="50" w:afterLines="50"/>
      <w:jc w:val="both"/>
      <w:outlineLvl w:val="4"/>
    </w:pPr>
    <w:rPr>
      <w:rFonts w:ascii="黑体" w:hAnsi="Times New Roman" w:eastAsia="黑体" w:cs="Times New Roman"/>
      <w:kern w:val="0"/>
      <w:sz w:val="21"/>
      <w:szCs w:val="20"/>
      <w:lang w:val="en-US" w:eastAsia="zh-CN" w:bidi="ar-SA"/>
    </w:rPr>
  </w:style>
  <w:style w:type="paragraph" w:customStyle="1" w:styleId="17">
    <w:name w:val="标准文件_五级条标题"/>
    <w:next w:val="13"/>
    <w:qFormat/>
    <w:uiPriority w:val="0"/>
    <w:pPr>
      <w:widowControl w:val="0"/>
      <w:numPr>
        <w:ilvl w:val="6"/>
        <w:numId w:val="2"/>
      </w:numPr>
      <w:spacing w:before="50" w:beforeLines="50" w:after="50" w:afterLines="50"/>
      <w:jc w:val="both"/>
      <w:outlineLvl w:val="5"/>
    </w:pPr>
    <w:rPr>
      <w:rFonts w:ascii="黑体" w:hAnsi="Times New Roman" w:eastAsia="黑体" w:cs="Times New Roman"/>
      <w:kern w:val="0"/>
      <w:sz w:val="21"/>
      <w:szCs w:val="20"/>
      <w:lang w:val="en-US" w:eastAsia="zh-CN" w:bidi="ar-SA"/>
    </w:rPr>
  </w:style>
  <w:style w:type="paragraph" w:customStyle="1" w:styleId="18">
    <w:name w:val="标准文件_章标题"/>
    <w:next w:val="13"/>
    <w:qFormat/>
    <w:uiPriority w:val="0"/>
    <w:pPr>
      <w:numPr>
        <w:ilvl w:val="1"/>
        <w:numId w:val="2"/>
      </w:numPr>
      <w:spacing w:before="100" w:beforeLines="100" w:after="100" w:afterLines="100"/>
      <w:jc w:val="both"/>
      <w:outlineLvl w:val="0"/>
    </w:pPr>
    <w:rPr>
      <w:rFonts w:ascii="黑体" w:hAnsi="Times New Roman" w:eastAsia="黑体" w:cs="Times New Roman"/>
      <w:kern w:val="0"/>
      <w:sz w:val="21"/>
      <w:szCs w:val="20"/>
      <w:lang w:val="en-US" w:eastAsia="zh-CN" w:bidi="ar-SA"/>
    </w:rPr>
  </w:style>
  <w:style w:type="paragraph" w:customStyle="1" w:styleId="19">
    <w:name w:val="标准文件_一级条标题"/>
    <w:basedOn w:val="18"/>
    <w:next w:val="13"/>
    <w:qFormat/>
    <w:uiPriority w:val="0"/>
    <w:pPr>
      <w:numPr>
        <w:ilvl w:val="2"/>
        <w:numId w:val="0"/>
      </w:numPr>
      <w:spacing w:before="50" w:beforeLines="50" w:after="50" w:afterLines="50"/>
      <w:outlineLvl w:val="1"/>
    </w:pPr>
  </w:style>
  <w:style w:type="paragraph" w:customStyle="1" w:styleId="20">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kern w:val="0"/>
      <w:sz w:val="32"/>
      <w:szCs w:val="20"/>
      <w:lang w:val="en-US" w:eastAsia="zh-CN" w:bidi="ar-SA"/>
    </w:rPr>
  </w:style>
  <w:style w:type="paragraph" w:customStyle="1" w:styleId="21">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character" w:customStyle="1" w:styleId="22">
    <w:name w:val="标准文件_段 Char"/>
    <w:link w:val="13"/>
    <w:qFormat/>
    <w:uiPriority w:val="0"/>
    <w:rPr>
      <w:rFonts w:ascii="宋体" w:hAnsi="Times New Roman" w:eastAsia="宋体" w:cs="Times New Roman"/>
      <w:kern w:val="0"/>
      <w:szCs w:val="20"/>
    </w:rPr>
  </w:style>
  <w:style w:type="paragraph" w:customStyle="1" w:styleId="23">
    <w:name w:val="标准文件_术语条一"/>
    <w:basedOn w:val="1"/>
    <w:next w:val="13"/>
    <w:qFormat/>
    <w:uiPriority w:val="0"/>
    <w:pPr>
      <w:widowControl/>
      <w:numPr>
        <w:ilvl w:val="2"/>
        <w:numId w:val="2"/>
      </w:numPr>
    </w:pPr>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1235</Words>
  <Characters>1253</Characters>
  <Paragraphs>279</Paragraphs>
  <TotalTime>1</TotalTime>
  <ScaleCrop>false</ScaleCrop>
  <LinksUpToDate>false</LinksUpToDate>
  <CharactersWithSpaces>1253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2023-08-13T05:10:00Z</dcterms:created>
  <dc:creator>lenovo</dc:creator>
  <cp:lastModifiedBy>粮民</cp:lastModifiedBy>
  <dcterms:modified xsi:type="dcterms:W3CDTF">2024-11-08T08:06:10Z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4A56F5571FAD4F92B903A59C67B7C44A_13</vt:lpwstr>
  </property>
</Properties>
</file>