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098"/>
        <w:gridCol w:w="702"/>
        <w:gridCol w:w="845"/>
        <w:gridCol w:w="650"/>
        <w:gridCol w:w="1402"/>
        <w:gridCol w:w="857"/>
        <w:gridCol w:w="1445"/>
        <w:gridCol w:w="1380"/>
        <w:gridCol w:w="5141"/>
      </w:tblGrid>
      <w:tr w14:paraId="2890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73A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排序</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BAC7">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姓名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945C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性别</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00B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出生年月</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AF2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民族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A0D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工作单位</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376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职称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B52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最高学历/学位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C4B1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研究方向</w:t>
            </w:r>
          </w:p>
        </w:tc>
        <w:tc>
          <w:tcPr>
            <w:tcW w:w="1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1A1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主要业绩</w:t>
            </w:r>
          </w:p>
        </w:tc>
      </w:tr>
      <w:tr w14:paraId="5411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6D16">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B53E">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u w:val="none"/>
              </w:rPr>
            </w:pPr>
            <w:r>
              <w:rPr>
                <w:rFonts w:hint="eastAsia" w:ascii="Times New Roman" w:hAnsi="Times New Roman" w:eastAsia="仿宋_GB2312" w:cs="Times New Roman"/>
                <w:b/>
                <w:bCs/>
                <w:i w:val="0"/>
                <w:iCs w:val="0"/>
                <w:color w:val="000000"/>
                <w:kern w:val="0"/>
                <w:sz w:val="24"/>
                <w:szCs w:val="24"/>
                <w:u w:val="none"/>
                <w:lang w:val="en-US" w:eastAsia="zh-CN" w:bidi="ar"/>
              </w:rPr>
              <w:t>温浩军</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1304">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176A">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1971.03</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D232">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汉</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615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石河子大学机械电气工程学院</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ED95">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研究员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6581">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研究生、硕士</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F427">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农业机械化工程</w:t>
            </w:r>
          </w:p>
        </w:tc>
        <w:tc>
          <w:tcPr>
            <w:tcW w:w="1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0D0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温浩军，二级研究员，博士生导师，中国青年科技奖获得者，百千万人才工程国家级人选，国务院特殊津贴专家。现任农业部西北农业装备重点实验室常务副主任，“十四五”农业农村部农作物生产全程机械化专家指导组棉花专业组组长、国家现代棉花产业技术体系岗位科学家兼机械研究室主任。30年来一直在新疆兵团基层一线从事棉花生产全程机械化关键技术研究和新产品的开发应用推广工作。主持和参加国家及省部级课题27项，其中主持国家重点研发计划项目1项，国家科技支撑计划课题1项。获国家专利108项，其中发明专利49项。获国家科技进步二等奖2项，省部级奖励20项。2021年获得全国五一劳动奖章，2022年入选农业农村部“神农领军英才”，2025年获“农业机械科学技术奖一等奖”。</w:t>
            </w:r>
          </w:p>
        </w:tc>
      </w:tr>
      <w:tr w14:paraId="7825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AB93">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38FC">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余渝</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643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A2C2">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197</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default" w:ascii="Times New Roman" w:hAnsi="Times New Roman" w:eastAsia="仿宋_GB2312" w:cs="Times New Roman"/>
                <w:b/>
                <w:bCs/>
                <w:i w:val="0"/>
                <w:iCs w:val="0"/>
                <w:color w:val="000000"/>
                <w:kern w:val="0"/>
                <w:sz w:val="24"/>
                <w:szCs w:val="24"/>
                <w:u w:val="none"/>
                <w:lang w:val="en-US" w:eastAsia="zh-CN" w:bidi="ar"/>
              </w:rPr>
              <w:t>3.0</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default" w:ascii="Times New Roman" w:hAnsi="Times New Roman" w:eastAsia="仿宋_GB2312" w:cs="Times New Roman"/>
                <w:b/>
                <w:bCs/>
                <w:i w:val="0"/>
                <w:iCs w:val="0"/>
                <w:color w:val="000000"/>
                <w:kern w:val="0"/>
                <w:sz w:val="24"/>
                <w:szCs w:val="24"/>
                <w:u w:val="none"/>
                <w:lang w:val="en-US" w:eastAsia="zh-CN" w:bidi="ar"/>
              </w:rPr>
              <w:t>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CF9F">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汉</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1F87">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新疆</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农垦</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科学</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院棉</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花研究所</w:t>
            </w:r>
            <w:bookmarkStart w:id="0" w:name="_GoBack"/>
            <w:bookmarkEnd w:id="0"/>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3452">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研究员</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6434">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研究生</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博士</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FD0A">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棉花生物育种</w:t>
            </w:r>
          </w:p>
        </w:tc>
        <w:tc>
          <w:tcPr>
            <w:tcW w:w="1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180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余渝同志政治立场坚定，坚持以习近平新时代中国特色社会主义思想为指导，道德品行高尚，廉洁自律，爱岗敬业，具有强烈的事业心和责任感。作为新疆“天山英才”创新团队支持计划人选和我单位领军人才，主持/参加国家兵团（自治区）项目（课题）20余项（主持10余项），以第一作者或通讯作者发表论文60余篇，参编著作7部，制定标准4项；作为第一完成人选育早熟陆地棉新品种13个，科研成果应用经济和社会效益显著，先后获得省部级科技进步奖17项（其中一等奖5项），获兵团青年科技奖、新疆青年五四奖章、兵团青年五四奖章、开发建设新疆奖章以及兵团优秀专业技术人才、兵团三佳科技特派员等省部级荣誉称号。</w:t>
            </w:r>
          </w:p>
        </w:tc>
      </w:tr>
      <w:tr w14:paraId="3EB32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593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CF3A2">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李志军</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40FC">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女</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69557">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1963.1</w:t>
            </w:r>
            <w:r>
              <w:rPr>
                <w:rFonts w:hint="eastAsia" w:ascii="Times New Roman" w:hAnsi="Times New Roman" w:eastAsia="仿宋_GB2312" w:cs="Times New Roman"/>
                <w:b/>
                <w:bCs/>
                <w:i w:val="0"/>
                <w:iCs w:val="0"/>
                <w:color w:val="000000"/>
                <w:kern w:val="0"/>
                <w:sz w:val="24"/>
                <w:szCs w:val="24"/>
                <w:u w:val="none"/>
                <w:lang w:val="en-US" w:eastAsia="zh-CN" w:bidi="ar"/>
              </w:rPr>
              <w:t>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673C">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汉</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A8B9">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塔里木大学生命科学与技术学院</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5FA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教授</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C971">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研究生</w:t>
            </w:r>
            <w:r>
              <w:rPr>
                <w:rFonts w:hint="eastAsia" w:ascii="Times New Roman" w:hAnsi="Times New Roman" w:eastAsia="仿宋_GB2312" w:cs="Times New Roman"/>
                <w:b/>
                <w:bCs/>
                <w:i w:val="0"/>
                <w:iCs w:val="0"/>
                <w:color w:val="000000"/>
                <w:kern w:val="0"/>
                <w:sz w:val="24"/>
                <w:szCs w:val="24"/>
                <w:u w:val="none"/>
                <w:lang w:val="en-US" w:eastAsia="zh-CN" w:bidi="ar"/>
              </w:rPr>
              <w:t>、</w:t>
            </w:r>
            <w:r>
              <w:rPr>
                <w:rFonts w:hint="default" w:ascii="Times New Roman" w:hAnsi="Times New Roman" w:eastAsia="仿宋_GB2312" w:cs="Times New Roman"/>
                <w:b/>
                <w:bCs/>
                <w:i w:val="0"/>
                <w:iCs w:val="0"/>
                <w:color w:val="000000"/>
                <w:kern w:val="0"/>
                <w:sz w:val="24"/>
                <w:szCs w:val="24"/>
                <w:u w:val="none"/>
                <w:lang w:val="en-US" w:eastAsia="zh-CN" w:bidi="ar"/>
              </w:rPr>
              <w:t>博士</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EDE3">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荒漠生态系统修复</w:t>
            </w:r>
          </w:p>
        </w:tc>
        <w:tc>
          <w:tcPr>
            <w:tcW w:w="1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D65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（1） 破解了胡杨遗传资源难以实现精准保护的世界性难题，备份保存了世</w:t>
            </w:r>
            <w:r>
              <w:rPr>
                <w:rFonts w:hint="eastAsia"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界胡杨主要分布区97%的遗传多样性，为世界胡杨遗传资源保护做出重大贡献。</w:t>
            </w:r>
            <w:r>
              <w:rPr>
                <w:rFonts w:hint="eastAsia"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（2） 攻克了水资源高效利用下的胡杨林种群更新、群落恢复、生态系统功能提升修复理论技术，为西北干旱区天然胡杨林生态屏障建设提供了重要的科技支撑，相关技术在胡杨林生态保护工程中推广应用近5000亩。</w:t>
            </w:r>
            <w:r>
              <w:rPr>
                <w:rFonts w:hint="eastAsia" w:ascii="Times New Roman" w:hAnsi="Times New Roman" w:eastAsia="仿宋_GB2312" w:cs="Times New Roman"/>
                <w:b/>
                <w:bCs/>
                <w:i w:val="0"/>
                <w:iCs w:val="0"/>
                <w:color w:val="000000"/>
                <w:kern w:val="0"/>
                <w:sz w:val="24"/>
                <w:szCs w:val="24"/>
                <w:u w:val="none"/>
                <w:lang w:val="en-US" w:eastAsia="zh-CN" w:bidi="ar"/>
              </w:rPr>
              <w:br w:type="textWrapping"/>
            </w:r>
            <w:r>
              <w:rPr>
                <w:rFonts w:hint="eastAsia" w:ascii="Times New Roman" w:hAnsi="Times New Roman" w:eastAsia="仿宋_GB2312" w:cs="Times New Roman"/>
                <w:b/>
                <w:bCs/>
                <w:i w:val="0"/>
                <w:iCs w:val="0"/>
                <w:color w:val="000000"/>
                <w:kern w:val="0"/>
                <w:sz w:val="24"/>
                <w:szCs w:val="24"/>
                <w:u w:val="none"/>
                <w:lang w:val="en-US" w:eastAsia="zh-CN" w:bidi="ar"/>
              </w:rPr>
              <w:t>（3）首次从景观水平揭示了塔里木盆地极端干旱区胡杨林面积和碳汇功能在气候和人为干扰下的时空变化特征，科学提出区域尺度胡杨林分区分类精准保护方案，并预测了气候变化情景下未来荒漠河岸林的时空分布格局，为区域尺度胡杨林精准有效保护提供了重要的科学依据。</w:t>
            </w:r>
          </w:p>
        </w:tc>
      </w:tr>
    </w:tbl>
    <w:p w14:paraId="59D9095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117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2026-01-16T08:26:05Z</dcterms:created>
  <dc:creator>shc</dc:creator>
  <cp:lastModifiedBy>qzuser</cp:lastModifiedBy>
  <cp:lastPrinted>2026-01-16T08:26:52Z</cp:lastPrinted>
  <dcterms:modified xsi:type="dcterms:W3CDTF">2026-01-16T08:32:08Z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eyJoZGlkIjoiNzI1MzljODBiNDliMzEyMzFlZWNlN2EzYjU0N2YzMWEiLCJ1c2VySWQiOiIzNDM1Njg4ODcifQ==</vt:lpwstr>
  </property>
  <property fmtid="{D5CDD505-2E9C-101B-9397-08002B2CF9AE}" pid="4" name="ICV">
    <vt:lpwstr>C1D417FFE66E4657B9B30BFFC42BB84F_12</vt:lpwstr>
  </property>
</Properties>
</file>