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7C752">
      <w:pPr>
        <w:pStyle w:val="2"/>
        <w:ind w:left="0" w:leftChars="0" w:firstLine="0" w:firstLineChars="0"/>
        <w:rPr>
          <w:rFonts w:hint="eastAsia" w:ascii="Times New Roman" w:hAnsi="Times New Roman" w:eastAsia="方正仿宋简体" w:cs="方正仿宋简体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</w:t>
      </w:r>
    </w:p>
    <w:p w14:paraId="225B078B">
      <w:pPr>
        <w:pStyle w:val="2"/>
        <w:rPr>
          <w:rFonts w:hint="eastAsia"/>
          <w:lang w:val="en-US" w:eastAsia="zh-CN"/>
        </w:rPr>
      </w:pPr>
    </w:p>
    <w:p w14:paraId="7104D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 w:bidi="ar-SA"/>
        </w:rPr>
        <w:t>进一步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bidi="ar-SA"/>
        </w:rPr>
        <w:t>促进兵团畜牧业稳定发展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 w:bidi="ar-SA"/>
        </w:rPr>
        <w:t>九条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bidi="ar-SA"/>
        </w:rPr>
        <w:t>政策措施</w:t>
      </w:r>
    </w:p>
    <w:p w14:paraId="3D3F5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/>
        <w:jc w:val="center"/>
        <w:textAlignment w:val="auto"/>
        <w:rPr>
          <w:rFonts w:hint="eastAsia" w:ascii="Times New Roman" w:hAnsi="Times New Roman" w:eastAsia="楷体_GB2312" w:cs="方正仿宋简体"/>
          <w:b/>
          <w:bCs/>
          <w:sz w:val="36"/>
          <w:szCs w:val="36"/>
          <w:lang w:eastAsia="zh-CN" w:bidi="ar-SA"/>
        </w:rPr>
      </w:pPr>
      <w:r>
        <w:rPr>
          <w:rFonts w:hint="eastAsia" w:ascii="Times New Roman" w:hAnsi="Times New Roman" w:eastAsia="楷体_GB2312" w:cs="方正仿宋简体"/>
          <w:b/>
          <w:bCs/>
          <w:sz w:val="36"/>
          <w:szCs w:val="36"/>
          <w:lang w:eastAsia="zh-CN" w:bidi="ar-SA"/>
        </w:rPr>
        <w:t>（征求意见稿）</w:t>
      </w:r>
    </w:p>
    <w:p w14:paraId="32FF1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firstLine="720" w:firstLineChars="200"/>
        <w:textAlignment w:val="auto"/>
        <w:rPr>
          <w:rFonts w:hint="eastAsia" w:ascii="Times New Roman" w:hAnsi="Times New Roman" w:eastAsia="方正仿宋简体" w:cs="方正仿宋简体"/>
          <w:sz w:val="36"/>
          <w:szCs w:val="36"/>
          <w:lang w:bidi="ar-SA"/>
        </w:rPr>
      </w:pPr>
    </w:p>
    <w:p w14:paraId="60ED8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bidi="ar-SA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bidi="ar-SA"/>
        </w:rPr>
        <w:t>为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 w:bidi="ar-SA"/>
        </w:rPr>
        <w:t>着力</w:t>
      </w:r>
      <w:r>
        <w:rPr>
          <w:rFonts w:hint="eastAsia" w:ascii="Times New Roman" w:hAnsi="Times New Roman" w:eastAsia="方正仿宋简体" w:cs="方正仿宋简体"/>
          <w:sz w:val="32"/>
          <w:szCs w:val="32"/>
          <w:lang w:bidi="ar-SA"/>
        </w:rPr>
        <w:t>打造全国优质农牧产品重要供给基地，突出“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bidi="ar-SA"/>
        </w:rPr>
        <w:t>优质”和“规模”两个关键，持续稳定畜牧业基础产能，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eastAsia="zh-CN" w:bidi="ar-SA"/>
        </w:rPr>
        <w:t>推动肉牛提质、肉羊增产、奶业增效，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bidi="ar-SA"/>
        </w:rPr>
        <w:t>加快畜牧业转型升级，推进高质量发展，经调整优化，制定如下政策措施。</w:t>
      </w:r>
    </w:p>
    <w:p w14:paraId="7FFCC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/>
          <w:bCs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方正仿宋简体"/>
          <w:sz w:val="32"/>
          <w:szCs w:val="32"/>
          <w:highlight w:val="none"/>
          <w:lang w:bidi="ar-SA"/>
        </w:rPr>
        <w:t>第一条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highlight w:val="none"/>
          <w:lang w:bidi="ar-SA"/>
        </w:rPr>
        <w:t xml:space="preserve">  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eastAsia="zh-CN" w:bidi="ar-SA"/>
        </w:rPr>
        <w:t>肉牛养殖补贴。对使用优质西门塔尔牛、褐牛、安格斯牛、华西牛等种公牛冻精配种产犊的能繁母牛，且犊牛稳定饲养3个月以上的，见犊补母，每头能繁母牛补贴300元。对实际开展肉牛深度规模育肥，年出疆达到规模标准的养殖主体，按照500元/头标准予以补贴，单个养殖主体年度补贴资金不超过1000万元。</w:t>
      </w:r>
    </w:p>
    <w:p w14:paraId="438EC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</w:pPr>
      <w:r>
        <w:rPr>
          <w:rFonts w:hint="eastAsia" w:ascii="Times New Roman" w:hAnsi="Times New Roman" w:eastAsia="黑体" w:cs="方正仿宋简体"/>
          <w:bCs/>
          <w:sz w:val="32"/>
          <w:szCs w:val="32"/>
          <w:highlight w:val="none"/>
          <w:lang w:bidi="ar-SA"/>
        </w:rPr>
        <w:t>第二条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highlight w:val="none"/>
          <w:lang w:bidi="ar-SA"/>
        </w:rPr>
        <w:t xml:space="preserve">  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肉羊养殖补贴。对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eastAsia="zh-CN" w:bidi="ar-SA"/>
        </w:rPr>
        <w:t>兵团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肉羊规模养殖主体产羔能繁母羊、且羔羊稳定饲养2个月以上的，见羔补母，每只产单羔的能繁母羊补贴30元、产多羔的能繁母羊补贴60元。对开展人工授精经济杂交的产羔母羊，每只补贴40元。对从种羊场引进种公羊、多胎能繁母羊，能繁母羊存栏达到30只以上稳定养殖的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eastAsia="zh-CN" w:bidi="ar-SA"/>
        </w:rPr>
        <w:t>职工群众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及规模养殖主体，或开展羊人工授精的社会化服务组织，按照多胎能繁母羊500元/只、地方品种种公羊1000元/只、专用肉羊及含多胎基因的地方品种种公羊3000元/只标准给予补贴。</w:t>
      </w:r>
    </w:p>
    <w:p w14:paraId="15188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</w:pP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对推行“牧繁农育”模式，向专业化规模育肥主体出售2—3月龄杂交断奶羔羊的职工群众，每只羔羊补贴50元。对舍饲育肥断奶羔羊3个月以上、年内新增出栏肉羊达到规模标准，且在疆内屠宰取得动物检疫合格证明的规模养殖主体，按照增量每只60元的标准给予补贴。</w:t>
      </w:r>
    </w:p>
    <w:p w14:paraId="68278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</w:pP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对肉羊产业基础好、增量增产明显、排名前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val="en-US" w:eastAsia="zh-CN" w:bidi="ar-SA"/>
        </w:rPr>
        <w:t>3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的养殖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eastAsia="zh-CN" w:bidi="ar-SA"/>
        </w:rPr>
        <w:t>大师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，按照羊肉增产贡献度给予差异化补贴，单个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eastAsia="zh-CN" w:bidi="ar-SA"/>
        </w:rPr>
        <w:t>师市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的补贴资金不超过1000万元。</w:t>
      </w:r>
    </w:p>
    <w:p w14:paraId="14003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</w:pPr>
      <w:r>
        <w:rPr>
          <w:rFonts w:hint="eastAsia" w:ascii="Times New Roman" w:hAnsi="Times New Roman" w:eastAsia="黑体" w:cs="方正仿宋简体"/>
          <w:bCs/>
          <w:sz w:val="32"/>
          <w:szCs w:val="32"/>
          <w:highlight w:val="none"/>
          <w:lang w:bidi="ar-SA"/>
        </w:rPr>
        <w:t>第三条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highlight w:val="none"/>
          <w:lang w:bidi="ar-SA"/>
        </w:rPr>
        <w:t xml:space="preserve">  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优质奶牛养殖补贴。对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eastAsia="zh-CN" w:bidi="ar-SA"/>
        </w:rPr>
        <w:t>兵团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奶牛规模养殖主体，年单产不低于全国平均水平的奶牛，每头补贴1500元。</w:t>
      </w:r>
    </w:p>
    <w:p w14:paraId="12DD1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</w:pPr>
      <w:r>
        <w:rPr>
          <w:rFonts w:hint="eastAsia" w:ascii="Times New Roman" w:hAnsi="Times New Roman" w:eastAsia="黑体" w:cs="方正仿宋简体"/>
          <w:bCs/>
          <w:sz w:val="32"/>
          <w:szCs w:val="32"/>
          <w:highlight w:val="none"/>
          <w:lang w:bidi="ar-SA"/>
        </w:rPr>
        <w:t>第四条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highlight w:val="none"/>
          <w:lang w:bidi="ar-SA"/>
        </w:rPr>
        <w:t xml:space="preserve">  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饲草料补贴。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eastAsia="zh-CN" w:bidi="ar-SA"/>
        </w:rPr>
        <w:t>为稳定牛羊繁育基础、促进地源性饲草料资源有效利用，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对养殖场（户）利用玉米秸秆制作黄贮、微贮饲料的，利用果枝藤条、糟渣、芦苇等非常规饲草资源发酵加工成饲料的，每吨补贴50元。</w:t>
      </w:r>
    </w:p>
    <w:p w14:paraId="04D72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bidi="ar-SA"/>
        </w:rPr>
      </w:pPr>
      <w:r>
        <w:rPr>
          <w:rFonts w:hint="eastAsia" w:ascii="Times New Roman" w:hAnsi="Times New Roman" w:eastAsia="黑体" w:cs="方正仿宋简体"/>
          <w:bCs/>
          <w:sz w:val="32"/>
          <w:szCs w:val="32"/>
          <w:highlight w:val="none"/>
          <w:lang w:bidi="ar-SA"/>
        </w:rPr>
        <w:t>第五条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highlight w:val="none"/>
          <w:lang w:bidi="ar-SA"/>
        </w:rPr>
        <w:t xml:space="preserve"> 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 xml:space="preserve"> 乳制品加工升级补贴。对引进、改造提升乳制品加工工艺、研发新产品，以及新（扩）建乳酪、奶油、乳清粉、婴幼儿配方乳粉等生产线的主体给予补贴，单个加工主体年度补贴资金不超过1000万元。</w:t>
      </w:r>
    </w:p>
    <w:p w14:paraId="33E79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bidi="ar-SA"/>
        </w:rPr>
      </w:pPr>
      <w:r>
        <w:rPr>
          <w:rFonts w:hint="eastAsia" w:ascii="Times New Roman" w:hAnsi="Times New Roman" w:eastAsia="黑体" w:cs="方正仿宋简体"/>
          <w:bCs/>
          <w:sz w:val="32"/>
          <w:szCs w:val="32"/>
          <w:highlight w:val="none"/>
          <w:lang w:bidi="ar-SA"/>
        </w:rPr>
        <w:t>第六条</w:t>
      </w:r>
      <w:r>
        <w:rPr>
          <w:rFonts w:hint="eastAsia" w:ascii="Times New Roman" w:hAnsi="Times New Roman" w:eastAsia="方正仿宋简体" w:cs="方正仿宋简体"/>
          <w:b/>
          <w:sz w:val="32"/>
          <w:szCs w:val="32"/>
          <w:highlight w:val="none"/>
          <w:lang w:bidi="ar-SA"/>
        </w:rPr>
        <w:t xml:space="preserve">  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肉制品加工升级补贴。对建立联农带农机制，引进、转化牛羊肉精细分割、绿色保鲜、副产品高值化利用、肉品安全控制等技术工艺，以及开发功能性产品、熟食制品、调理肉制品的企业给予补贴，单个加工主体年度补贴资金不超过1000万元。</w:t>
      </w:r>
    </w:p>
    <w:p w14:paraId="704BC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bidi="ar-SA"/>
        </w:rPr>
      </w:pPr>
      <w:r>
        <w:rPr>
          <w:rFonts w:hint="eastAsia" w:ascii="Times New Roman" w:hAnsi="Times New Roman" w:eastAsia="黑体" w:cs="方正仿宋简体"/>
          <w:bCs/>
          <w:sz w:val="32"/>
          <w:szCs w:val="32"/>
          <w:highlight w:val="none"/>
          <w:lang w:bidi="ar-SA"/>
        </w:rPr>
        <w:t>第七条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highlight w:val="none"/>
          <w:lang w:bidi="ar-SA"/>
        </w:rPr>
        <w:t xml:space="preserve">  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养殖加工贷款贴息。对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eastAsia="zh-CN" w:bidi="ar-SA"/>
        </w:rPr>
        <w:t>兵团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肉牛肉羊奶牛养殖场（户）、合作社、加工企业新申请的一年期及一年期以上的生产经营贷款，按照不高于同期同档次贷款市场报价利率（LPR）的70%、且不超过2%给予养殖加工主体财政贴息，政策执行期间银行发放的相关续贷业务同样适用。对单个养殖加工主体年度贴息资金不超过1000万元。</w:t>
      </w:r>
    </w:p>
    <w:p w14:paraId="35399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bidi="ar-SA"/>
        </w:rPr>
      </w:pPr>
      <w:r>
        <w:rPr>
          <w:rFonts w:hint="eastAsia" w:ascii="Times New Roman" w:hAnsi="Times New Roman" w:eastAsia="黑体" w:cs="方正仿宋简体"/>
          <w:bCs/>
          <w:sz w:val="32"/>
          <w:szCs w:val="32"/>
          <w:highlight w:val="none"/>
          <w:lang w:bidi="ar-SA"/>
        </w:rPr>
        <w:t>第八条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highlight w:val="none"/>
          <w:lang w:bidi="ar-SA"/>
        </w:rPr>
        <w:t xml:space="preserve">  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强化信贷政策支持。将畜牧业列为“积极支持类”行业，对符合授信条件但暂时经营困难的养殖场（户），不随意限贷、抽贷、断贷。金融机构扩大土地经营权、养殖场地上附着物等抵（质）押、担保范围，借助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eastAsia="zh-CN" w:bidi="ar-SA"/>
        </w:rPr>
        <w:t>兵团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畜牧兽医大数据平台，创新“青贮贷”“活体抵押贷”等，对符合条件的新增贷款“应贷尽贷”。金融监管部门要适度提高肉牛肉羊奶业及加工企业贷款风险容忍度，涉牧贷款不良率高出金融机构自身各项贷款不良率年度目标3个百分点（含）以内的，可不作为监管评价扣分因素。</w:t>
      </w:r>
    </w:p>
    <w:p w14:paraId="0FC8E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</w:pPr>
      <w:r>
        <w:rPr>
          <w:rFonts w:hint="eastAsia" w:ascii="Times New Roman" w:hAnsi="Times New Roman" w:eastAsia="黑体" w:cs="方正仿宋简体"/>
          <w:bCs/>
          <w:sz w:val="32"/>
          <w:szCs w:val="32"/>
          <w:highlight w:val="none"/>
          <w:lang w:bidi="ar-SA"/>
        </w:rPr>
        <w:t>第九条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highlight w:val="none"/>
          <w:lang w:bidi="ar-SA"/>
        </w:rPr>
        <w:t xml:space="preserve">  </w:t>
      </w:r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优化养殖业保险。探索建立政策性养殖业保险承保机构动态调整机制，推动各承保机构提升服务水平、服务质量，引导承保机构从保额优势、价格优势转为服务优势。</w:t>
      </w:r>
      <w:bookmarkStart w:id="0" w:name="_GoBack"/>
      <w:bookmarkEnd w:id="0"/>
      <w:r>
        <w:rPr>
          <w:rFonts w:hint="eastAsia" w:ascii="Times New Roman" w:hAnsi="Times New Roman" w:eastAsia="方正仿宋简体" w:cs="方正仿宋简体"/>
          <w:bCs/>
          <w:sz w:val="32"/>
          <w:szCs w:val="32"/>
          <w:highlight w:val="none"/>
          <w:lang w:bidi="ar-SA"/>
        </w:rPr>
        <w:t>督促承保机构在政策范围内，按照奶牛实际价值开展承保工作。鼓励保险机构扩大肉牛肉羊商业性保险覆盖面，创新“育肥险”“种畜险”“多胎羊繁殖险”“价格险”等保险产品，推进保险与信贷产品联动惠农。</w:t>
      </w:r>
    </w:p>
    <w:p w14:paraId="370D9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eastAsia="zh-CN" w:bidi="ar-SA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bidi="ar-SA"/>
        </w:rPr>
        <w:t>政策执行时间自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 w:bidi="ar-SA"/>
        </w:rPr>
        <w:t>2026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bidi="ar-SA"/>
        </w:rPr>
        <w:t>年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 w:bidi="ar-SA"/>
        </w:rPr>
        <w:t>7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bidi="ar-SA"/>
        </w:rPr>
        <w:t>月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bidi="ar-SA"/>
        </w:rPr>
        <w:t>日至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 w:bidi="ar-SA"/>
        </w:rPr>
        <w:t>2030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bidi="ar-SA"/>
        </w:rPr>
        <w:t>年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 w:bidi="ar-SA"/>
        </w:rPr>
        <w:t>6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bidi="ar-SA"/>
        </w:rPr>
        <w:t>月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 w:bidi="ar-SA"/>
        </w:rPr>
        <w:t>30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bidi="ar-SA"/>
        </w:rPr>
        <w:t>日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eastAsia="zh-CN" w:bidi="ar-SA"/>
        </w:rPr>
        <w:t>。肉羊养殖大师差异化补贴资金由兵团本级财政全额保障，其余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 w:bidi="ar-SA"/>
        </w:rPr>
        <w:t>政策资金</w:t>
      </w:r>
      <w:r>
        <w:rPr>
          <w:rFonts w:ascii="Times New Roman" w:hAnsi="Times New Roman" w:eastAsia="方正仿宋简体" w:cs="方正仿宋简体"/>
          <w:sz w:val="32"/>
          <w:szCs w:val="32"/>
          <w:highlight w:val="none"/>
          <w:lang w:val="en-US" w:eastAsia="zh-CN" w:bidi="ar-SA"/>
        </w:rPr>
        <w:t>按照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bidi="ar-SA"/>
        </w:rPr>
        <w:t>兵师财政1：1分担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 w:bidi="ar-SA"/>
        </w:rPr>
        <w:t>落实</w:t>
      </w:r>
      <w:r>
        <w:rPr>
          <w:rFonts w:ascii="Times New Roman" w:hAnsi="Times New Roman" w:eastAsia="方正仿宋简体" w:cs="方正仿宋简体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bidi="ar-SA"/>
        </w:rPr>
        <w:t>政策执行期间，适时评估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eastAsia="zh-CN" w:bidi="ar-SA"/>
        </w:rPr>
        <w:t>、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bidi="ar-SA"/>
        </w:rPr>
        <w:t>动态调整。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eastAsia="zh-CN" w:bidi="ar-SA"/>
        </w:rPr>
        <w:t>制定项目资金管理办法、细化政策实施方案，严格绩效评价，运用信息化手段简化申报流程，确保政策扶持精准、资金使用规范、操作流程便捷。《新疆生产建设兵团办公厅关于印发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 w:bidi="ar-SA"/>
        </w:rPr>
        <w:t>〈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eastAsia="zh-CN" w:bidi="ar-SA"/>
        </w:rPr>
        <w:t>促进兵团畜牧业稳定发展若干政策措施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 w:bidi="ar-SA"/>
        </w:rPr>
        <w:t>〉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eastAsia="zh-CN" w:bidi="ar-SA"/>
        </w:rPr>
        <w:t>的通知》（新兵办发〔2024〕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val="en-US" w:eastAsia="zh-CN" w:bidi="ar-SA"/>
        </w:rPr>
        <w:t>41</w:t>
      </w:r>
      <w:r>
        <w:rPr>
          <w:rFonts w:hint="eastAsia" w:ascii="Times New Roman" w:hAnsi="Times New Roman" w:eastAsia="方正仿宋简体" w:cs="方正仿宋简体"/>
          <w:sz w:val="32"/>
          <w:szCs w:val="32"/>
          <w:highlight w:val="none"/>
          <w:lang w:eastAsia="zh-CN" w:bidi="ar-SA"/>
        </w:rPr>
        <w:t>号）同步废止。</w:t>
      </w:r>
    </w:p>
    <w:p w14:paraId="017942AD">
      <w:pPr>
        <w:rPr>
          <w:sz w:val="20"/>
          <w:szCs w:val="22"/>
          <w:highlight w:val="none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CF636F"/>
    <w:rsid w:val="117E31DD"/>
    <w:rsid w:val="19A33387"/>
    <w:rsid w:val="1CC96DD9"/>
    <w:rsid w:val="22CA1DE6"/>
    <w:rsid w:val="23081521"/>
    <w:rsid w:val="265C570A"/>
    <w:rsid w:val="2A996998"/>
    <w:rsid w:val="4F072EB6"/>
    <w:rsid w:val="51E75AED"/>
    <w:rsid w:val="5F4065E7"/>
    <w:rsid w:val="61895F3F"/>
    <w:rsid w:val="6CBB491D"/>
    <w:rsid w:val="78480B0F"/>
    <w:rsid w:val="7C5C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1739</Words>
  <Characters>1792</Characters>
  <Lines>0</Lines>
  <Paragraphs>0</Paragraphs>
  <TotalTime>9</TotalTime>
  <ScaleCrop>false</ScaleCrop>
  <LinksUpToDate>false</LinksUpToDate>
  <CharactersWithSpaces>1810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2025-12-09T08:03:00Z</dcterms:created>
  <dc:creator>admin</dc:creator>
  <cp:lastModifiedBy>咿呀呀</cp:lastModifiedBy>
  <cp:lastPrinted>2026-08-14T10:37:00Z</cp:lastPrinted>
  <dcterms:modified xsi:type="dcterms:W3CDTF">2026-08-17T10:32:51Z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4ABFB286A2334E3AB0050CC99E8D3313_13</vt:lpwstr>
  </property>
  <property fmtid="{D5CDD505-2E9C-101B-9397-08002B2CF9AE}" pid="4" name="KSOTemplateDocerSaveRecord">
    <vt:lpwstr>eyJoZGlkIjoiYmVmZTQ1MTU2OGE3ZGE4YjRhMGFmZGQ3OWRkNmMzZjIiLCJ1c2VySWQiOiI2MDYzMjkxNzIifQ==</vt:lpwstr>
  </property>
</Properties>
</file>